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22" w:rsidRPr="00DD421F" w:rsidRDefault="00F64222" w:rsidP="00F64222">
      <w:pPr>
        <w:pStyle w:val="a"/>
        <w:rPr>
          <w:rFonts w:ascii="Arial" w:hAnsi="Arial" w:cs="Arial"/>
          <w:color w:val="000000" w:themeColor="text1"/>
          <w:sz w:val="21"/>
          <w:szCs w:val="21"/>
        </w:rPr>
      </w:pPr>
      <w:r w:rsidRPr="00DD421F">
        <w:rPr>
          <w:rFonts w:ascii="Arial" w:hAnsi="Arial" w:cs="Arial"/>
          <w:color w:val="000000" w:themeColor="text1"/>
          <w:sz w:val="21"/>
          <w:szCs w:val="21"/>
        </w:rPr>
        <w:t>INSTRUCTIVO DE LLENADO</w:t>
      </w:r>
    </w:p>
    <w:p w:rsidR="00F64222" w:rsidRPr="00DD421F" w:rsidRDefault="00F64222" w:rsidP="00F64222">
      <w:pPr>
        <w:jc w:val="center"/>
        <w:rPr>
          <w:rFonts w:ascii="Arial" w:hAnsi="Arial" w:cs="Arial"/>
          <w:b/>
          <w:color w:val="000000" w:themeColor="text1"/>
          <w:sz w:val="21"/>
          <w:szCs w:val="21"/>
        </w:rPr>
      </w:pPr>
      <w:r w:rsidRPr="00DD421F">
        <w:rPr>
          <w:rFonts w:ascii="Arial" w:hAnsi="Arial" w:cs="Arial"/>
          <w:b/>
          <w:color w:val="000000" w:themeColor="text1"/>
          <w:sz w:val="21"/>
          <w:szCs w:val="21"/>
        </w:rPr>
        <w:t>IN</w:t>
      </w:r>
      <w:bookmarkStart w:id="0" w:name="_GoBack"/>
      <w:bookmarkEnd w:id="0"/>
      <w:r w:rsidRPr="00DD421F">
        <w:rPr>
          <w:rFonts w:ascii="Arial" w:hAnsi="Arial" w:cs="Arial"/>
          <w:b/>
          <w:color w:val="000000" w:themeColor="text1"/>
          <w:sz w:val="21"/>
          <w:szCs w:val="21"/>
        </w:rPr>
        <w:t xml:space="preserve">FORME MENSUAL DE ACTIVIDADES REALIZADAS EN EL SERVICIO ESPECIALIZADO PARA </w:t>
      </w:r>
      <w:smartTag w:uri="urn:schemas-microsoft-com:office:smarttags" w:element="PersonName">
        <w:smartTagPr>
          <w:attr w:name="ProductID" w:val="LA ATENCIￓN"/>
        </w:smartTagPr>
        <w:r w:rsidRPr="00DD421F">
          <w:rPr>
            <w:rFonts w:ascii="Arial" w:hAnsi="Arial" w:cs="Arial"/>
            <w:b/>
            <w:color w:val="000000" w:themeColor="text1"/>
            <w:sz w:val="21"/>
            <w:szCs w:val="21"/>
          </w:rPr>
          <w:t>LA ATENCIÓN</w:t>
        </w:r>
      </w:smartTag>
      <w:r w:rsidRPr="00DD421F">
        <w:rPr>
          <w:rFonts w:ascii="Arial" w:hAnsi="Arial" w:cs="Arial"/>
          <w:b/>
          <w:color w:val="000000" w:themeColor="text1"/>
          <w:sz w:val="21"/>
          <w:szCs w:val="21"/>
        </w:rPr>
        <w:t>, DETECCIÓN E INFORMACIÓN SOBRE VIH</w:t>
      </w:r>
    </w:p>
    <w:p w:rsidR="00F64222" w:rsidRPr="00DD421F" w:rsidRDefault="00F64222" w:rsidP="00F64222">
      <w:pPr>
        <w:jc w:val="center"/>
        <w:rPr>
          <w:rFonts w:ascii="Arial" w:hAnsi="Arial" w:cs="Arial"/>
          <w:b/>
          <w:color w:val="000000" w:themeColor="text1"/>
          <w:sz w:val="21"/>
          <w:szCs w:val="21"/>
        </w:rPr>
      </w:pPr>
      <w:r w:rsidRPr="00DD421F">
        <w:rPr>
          <w:rFonts w:ascii="Arial" w:hAnsi="Arial" w:cs="Arial"/>
          <w:b/>
          <w:color w:val="000000" w:themeColor="text1"/>
          <w:sz w:val="21"/>
          <w:szCs w:val="21"/>
        </w:rPr>
        <w:t>SIS-SS-VIH</w:t>
      </w:r>
    </w:p>
    <w:p w:rsidR="00F64222" w:rsidRPr="00DD421F" w:rsidRDefault="00F64222" w:rsidP="00F64222">
      <w:pPr>
        <w:jc w:val="both"/>
        <w:rPr>
          <w:rFonts w:ascii="Arial" w:hAnsi="Arial" w:cs="Arial"/>
          <w:color w:val="000000" w:themeColor="text1"/>
          <w:sz w:val="21"/>
          <w:szCs w:val="21"/>
        </w:rPr>
      </w:pPr>
    </w:p>
    <w:p w:rsidR="00F64222" w:rsidRPr="00DD421F" w:rsidRDefault="00F64222" w:rsidP="00F64222">
      <w:pPr>
        <w:jc w:val="both"/>
        <w:rPr>
          <w:rFonts w:ascii="Arial" w:hAnsi="Arial" w:cs="Arial"/>
          <w:b/>
          <w:color w:val="000000" w:themeColor="text1"/>
          <w:sz w:val="21"/>
          <w:szCs w:val="21"/>
        </w:rPr>
      </w:pPr>
      <w:r w:rsidRPr="00DD421F">
        <w:rPr>
          <w:rFonts w:ascii="Arial" w:hAnsi="Arial" w:cs="Arial"/>
          <w:b/>
          <w:color w:val="000000" w:themeColor="text1"/>
          <w:sz w:val="21"/>
          <w:szCs w:val="21"/>
        </w:rPr>
        <w:t>GENERALIDADES</w:t>
      </w:r>
      <w:r w:rsidRPr="00DD421F">
        <w:rPr>
          <w:rFonts w:ascii="Arial" w:hAnsi="Arial" w:cs="Arial"/>
          <w:b/>
          <w:color w:val="000000" w:themeColor="text1"/>
          <w:sz w:val="21"/>
          <w:szCs w:val="21"/>
        </w:rPr>
        <w:tab/>
      </w:r>
    </w:p>
    <w:p w:rsidR="00F64222" w:rsidRPr="00DD421F" w:rsidRDefault="00F64222" w:rsidP="00F64222">
      <w:pPr>
        <w:jc w:val="both"/>
        <w:rPr>
          <w:rFonts w:ascii="Arial" w:hAnsi="Arial" w:cs="Arial"/>
          <w:color w:val="000000" w:themeColor="text1"/>
          <w:sz w:val="21"/>
          <w:szCs w:val="21"/>
        </w:rPr>
      </w:pPr>
      <w:r w:rsidRPr="00DD421F">
        <w:rPr>
          <w:rFonts w:ascii="Arial" w:hAnsi="Arial" w:cs="Arial"/>
          <w:color w:val="000000" w:themeColor="text1"/>
          <w:sz w:val="21"/>
          <w:szCs w:val="21"/>
        </w:rPr>
        <w:t xml:space="preserve">En el encabezado de las 2 hojas del Informe anote el nombre de la unidad médica, </w:t>
      </w:r>
      <w:smartTag w:uri="urn:schemas-microsoft-com:office:smarttags" w:element="PersonName">
        <w:smartTagPr>
          <w:attr w:name="ProductID" w:val="la Clave"/>
        </w:smartTagPr>
        <w:r w:rsidRPr="00DD421F">
          <w:rPr>
            <w:rFonts w:ascii="Arial" w:hAnsi="Arial" w:cs="Arial"/>
            <w:color w:val="000000" w:themeColor="text1"/>
            <w:sz w:val="21"/>
            <w:szCs w:val="21"/>
          </w:rPr>
          <w:t>la Clave</w:t>
        </w:r>
      </w:smartTag>
      <w:r w:rsidRPr="00DD421F">
        <w:rPr>
          <w:rFonts w:ascii="Arial" w:hAnsi="Arial" w:cs="Arial"/>
          <w:color w:val="000000" w:themeColor="text1"/>
          <w:sz w:val="21"/>
          <w:szCs w:val="21"/>
        </w:rPr>
        <w:t xml:space="preserve"> Única de Establecimientos de Salud (CLUES), nombre del responsable del llenado del informe, los meses calendario incluidos en el mes estadístico y el año calendario en curso.</w:t>
      </w:r>
    </w:p>
    <w:p w:rsidR="00F64222" w:rsidRPr="00DD421F" w:rsidRDefault="00F64222" w:rsidP="00F64222">
      <w:pPr>
        <w:jc w:val="both"/>
        <w:rPr>
          <w:rFonts w:ascii="Arial" w:hAnsi="Arial" w:cs="Arial"/>
          <w:color w:val="000000" w:themeColor="text1"/>
          <w:sz w:val="21"/>
          <w:szCs w:val="21"/>
        </w:rPr>
      </w:pPr>
    </w:p>
    <w:p w:rsidR="00F64222" w:rsidRPr="00DD421F" w:rsidRDefault="00F64222" w:rsidP="00F64222">
      <w:pPr>
        <w:jc w:val="both"/>
        <w:rPr>
          <w:rFonts w:ascii="Arial" w:hAnsi="Arial" w:cs="Arial"/>
          <w:color w:val="000000" w:themeColor="text1"/>
          <w:sz w:val="21"/>
          <w:szCs w:val="21"/>
        </w:rPr>
      </w:pPr>
      <w:r w:rsidRPr="00DD421F">
        <w:rPr>
          <w:rFonts w:ascii="Arial" w:hAnsi="Arial" w:cs="Arial"/>
          <w:color w:val="000000" w:themeColor="text1"/>
          <w:sz w:val="21"/>
          <w:szCs w:val="21"/>
        </w:rPr>
        <w:t>Utilice letra legible y de molde para el registro de la información.</w:t>
      </w:r>
    </w:p>
    <w:p w:rsidR="00F64222" w:rsidRPr="00DD421F" w:rsidRDefault="00F64222" w:rsidP="00F64222">
      <w:pPr>
        <w:tabs>
          <w:tab w:val="left" w:pos="19292"/>
          <w:tab w:val="left" w:pos="19505"/>
          <w:tab w:val="left" w:pos="19718"/>
        </w:tabs>
        <w:jc w:val="both"/>
        <w:rPr>
          <w:rFonts w:ascii="Arial" w:hAnsi="Arial" w:cs="Arial"/>
          <w:bCs/>
          <w:color w:val="000000" w:themeColor="text1"/>
          <w:sz w:val="21"/>
          <w:szCs w:val="21"/>
        </w:rPr>
      </w:pPr>
    </w:p>
    <w:p w:rsidR="00F64222" w:rsidRPr="00DD421F" w:rsidRDefault="00F64222" w:rsidP="00F64222">
      <w:pPr>
        <w:tabs>
          <w:tab w:val="left" w:pos="19292"/>
          <w:tab w:val="left" w:pos="19505"/>
          <w:tab w:val="left" w:pos="19718"/>
        </w:tabs>
        <w:jc w:val="both"/>
        <w:rPr>
          <w:rFonts w:ascii="Arial" w:hAnsi="Arial" w:cs="Arial"/>
          <w:bCs/>
          <w:color w:val="000000" w:themeColor="text1"/>
          <w:sz w:val="21"/>
          <w:szCs w:val="21"/>
        </w:rPr>
      </w:pPr>
      <w:r w:rsidRPr="00DD421F">
        <w:rPr>
          <w:rFonts w:ascii="Arial" w:hAnsi="Arial" w:cs="Arial"/>
          <w:bCs/>
          <w:color w:val="000000" w:themeColor="text1"/>
          <w:sz w:val="21"/>
          <w:szCs w:val="21"/>
        </w:rPr>
        <w:t>La fuente llenado son los registros propios de la unidad o centro.</w:t>
      </w:r>
    </w:p>
    <w:p w:rsidR="00F64222" w:rsidRPr="00DD421F" w:rsidRDefault="00F64222" w:rsidP="00F64222">
      <w:pPr>
        <w:jc w:val="both"/>
        <w:rPr>
          <w:rFonts w:ascii="Arial" w:hAnsi="Arial" w:cs="Arial"/>
          <w:color w:val="000000" w:themeColor="text1"/>
          <w:sz w:val="21"/>
          <w:szCs w:val="21"/>
        </w:rPr>
      </w:pPr>
    </w:p>
    <w:p w:rsidR="00F64222" w:rsidRPr="00562F1B" w:rsidRDefault="00F64222" w:rsidP="00F64222">
      <w:pPr>
        <w:jc w:val="both"/>
        <w:rPr>
          <w:rFonts w:ascii="Arial" w:hAnsi="Arial" w:cs="Arial"/>
          <w:color w:val="000000" w:themeColor="text1"/>
          <w:sz w:val="21"/>
          <w:szCs w:val="21"/>
        </w:rPr>
      </w:pPr>
      <w:r w:rsidRPr="00562F1B">
        <w:rPr>
          <w:rFonts w:ascii="Arial" w:hAnsi="Arial" w:cs="Arial"/>
          <w:color w:val="000000" w:themeColor="text1"/>
          <w:sz w:val="21"/>
          <w:szCs w:val="21"/>
        </w:rPr>
        <w:t>Este Informe es aplicable en:</w:t>
      </w:r>
    </w:p>
    <w:p w:rsidR="00F64222" w:rsidRPr="00562F1B" w:rsidRDefault="00F64222" w:rsidP="00F64222">
      <w:pPr>
        <w:pStyle w:val="Textoindependiente"/>
        <w:numPr>
          <w:ilvl w:val="0"/>
          <w:numId w:val="2"/>
        </w:numPr>
        <w:tabs>
          <w:tab w:val="clear" w:pos="720"/>
        </w:tabs>
        <w:ind w:left="360"/>
        <w:jc w:val="both"/>
        <w:rPr>
          <w:rFonts w:ascii="Arial" w:hAnsi="Arial" w:cs="Arial"/>
          <w:b/>
          <w:color w:val="000000" w:themeColor="text1"/>
          <w:sz w:val="21"/>
          <w:szCs w:val="21"/>
        </w:rPr>
      </w:pPr>
      <w:r w:rsidRPr="00562F1B">
        <w:rPr>
          <w:rFonts w:ascii="Arial" w:hAnsi="Arial" w:cs="Arial"/>
          <w:b/>
          <w:color w:val="000000" w:themeColor="text1"/>
          <w:sz w:val="21"/>
          <w:szCs w:val="21"/>
        </w:rPr>
        <w:t>Unidad de Especialidades Médicas (UNEMES), Centros Ambulatorios de Prevención y Atención en SIDA e Infecciones de Transmisión Sexual (CAPASITS).</w:t>
      </w:r>
    </w:p>
    <w:p w:rsidR="00F64222" w:rsidRPr="00562F1B" w:rsidRDefault="00F64222" w:rsidP="00F64222">
      <w:pPr>
        <w:pStyle w:val="Textoindependiente"/>
        <w:numPr>
          <w:ilvl w:val="0"/>
          <w:numId w:val="2"/>
        </w:numPr>
        <w:tabs>
          <w:tab w:val="clear" w:pos="720"/>
        </w:tabs>
        <w:ind w:left="360"/>
        <w:jc w:val="both"/>
        <w:rPr>
          <w:rFonts w:ascii="Arial" w:hAnsi="Arial" w:cs="Arial"/>
          <w:color w:val="000000" w:themeColor="text1"/>
          <w:sz w:val="21"/>
          <w:szCs w:val="21"/>
        </w:rPr>
      </w:pPr>
      <w:r w:rsidRPr="00562F1B">
        <w:rPr>
          <w:rFonts w:ascii="Arial" w:hAnsi="Arial" w:cs="Arial"/>
          <w:b/>
          <w:color w:val="000000" w:themeColor="text1"/>
          <w:sz w:val="21"/>
          <w:szCs w:val="21"/>
        </w:rPr>
        <w:t>El Servicio de Atención Intra Hospitalaria (SAIH)</w:t>
      </w:r>
      <w:r w:rsidRPr="00562F1B">
        <w:rPr>
          <w:rFonts w:ascii="Arial" w:hAnsi="Arial" w:cs="Arial"/>
          <w:color w:val="000000" w:themeColor="text1"/>
          <w:sz w:val="21"/>
          <w:szCs w:val="21"/>
        </w:rPr>
        <w:t xml:space="preserve"> </w:t>
      </w:r>
      <w:r w:rsidRPr="00562F1B">
        <w:rPr>
          <w:rFonts w:ascii="Arial" w:hAnsi="Arial" w:cs="Arial"/>
          <w:color w:val="000000" w:themeColor="text1"/>
          <w:sz w:val="21"/>
          <w:szCs w:val="21"/>
          <w:u w:val="single"/>
        </w:rPr>
        <w:t>es un servicio integrado a una unidad hospitalaria</w:t>
      </w:r>
      <w:r w:rsidRPr="00562F1B">
        <w:rPr>
          <w:rFonts w:ascii="Arial" w:hAnsi="Arial" w:cs="Arial"/>
          <w:color w:val="000000" w:themeColor="text1"/>
          <w:sz w:val="21"/>
          <w:szCs w:val="21"/>
        </w:rPr>
        <w:t>, constituido por un equipo multidisciplinario y apoyado por distintas especialidades, con el fin de proporcionar atención integral a personas viviendo con VIH.</w:t>
      </w:r>
    </w:p>
    <w:p w:rsidR="00F64222" w:rsidRPr="00562F1B" w:rsidRDefault="00F64222" w:rsidP="00F64222">
      <w:pPr>
        <w:tabs>
          <w:tab w:val="left" w:pos="19292"/>
          <w:tab w:val="left" w:pos="19505"/>
          <w:tab w:val="left" w:pos="19718"/>
        </w:tabs>
        <w:jc w:val="both"/>
        <w:rPr>
          <w:rFonts w:ascii="Arial" w:hAnsi="Arial" w:cs="Arial"/>
          <w:b/>
          <w:bCs/>
          <w:color w:val="000000" w:themeColor="text1"/>
          <w:sz w:val="21"/>
          <w:szCs w:val="21"/>
        </w:rPr>
      </w:pPr>
    </w:p>
    <w:p w:rsidR="00F64222" w:rsidRPr="00562F1B" w:rsidRDefault="00F64222" w:rsidP="00F64222">
      <w:pPr>
        <w:tabs>
          <w:tab w:val="left" w:pos="19292"/>
          <w:tab w:val="left" w:pos="19505"/>
          <w:tab w:val="left" w:pos="19718"/>
        </w:tabs>
        <w:jc w:val="both"/>
        <w:rPr>
          <w:rFonts w:ascii="Arial" w:hAnsi="Arial" w:cs="Arial"/>
          <w:b/>
          <w:bCs/>
          <w:color w:val="000000" w:themeColor="text1"/>
          <w:sz w:val="21"/>
          <w:szCs w:val="21"/>
        </w:rPr>
      </w:pPr>
      <w:r w:rsidRPr="00562F1B">
        <w:rPr>
          <w:rFonts w:ascii="Arial" w:hAnsi="Arial" w:cs="Arial"/>
          <w:b/>
          <w:bCs/>
          <w:color w:val="000000" w:themeColor="text1"/>
          <w:sz w:val="21"/>
          <w:szCs w:val="21"/>
        </w:rPr>
        <w:t>CONSULTA EXTERNA, ATENCIÓN POR MOTIVO</w:t>
      </w:r>
    </w:p>
    <w:p w:rsidR="00F64222" w:rsidRPr="00562F1B" w:rsidRDefault="00F64222" w:rsidP="00F64222">
      <w:pPr>
        <w:tabs>
          <w:tab w:val="left" w:pos="19292"/>
          <w:tab w:val="left" w:pos="19505"/>
          <w:tab w:val="left" w:pos="19718"/>
        </w:tabs>
        <w:jc w:val="both"/>
        <w:rPr>
          <w:rFonts w:ascii="Arial" w:hAnsi="Arial" w:cs="Arial"/>
          <w:color w:val="000000" w:themeColor="text1"/>
          <w:sz w:val="21"/>
          <w:szCs w:val="21"/>
        </w:rPr>
      </w:pPr>
      <w:r w:rsidRPr="00562F1B">
        <w:rPr>
          <w:rFonts w:ascii="Arial" w:hAnsi="Arial" w:cs="Arial"/>
          <w:bCs/>
          <w:color w:val="000000" w:themeColor="text1"/>
          <w:sz w:val="21"/>
          <w:szCs w:val="21"/>
        </w:rPr>
        <w:t xml:space="preserve">Anote el número de consultas </w:t>
      </w:r>
      <w:r w:rsidRPr="00562F1B">
        <w:rPr>
          <w:rFonts w:ascii="Arial" w:hAnsi="Arial" w:cs="Arial"/>
          <w:color w:val="000000" w:themeColor="text1"/>
          <w:sz w:val="21"/>
          <w:szCs w:val="21"/>
        </w:rPr>
        <w:t>que se realizaron durante el mes estadístico, según el motivo y sexo, de</w:t>
      </w:r>
      <w:r w:rsidRPr="00562F1B">
        <w:rPr>
          <w:rFonts w:ascii="Arial" w:hAnsi="Arial" w:cs="Arial"/>
          <w:b/>
          <w:color w:val="000000" w:themeColor="text1"/>
          <w:sz w:val="21"/>
          <w:szCs w:val="21"/>
        </w:rPr>
        <w:t xml:space="preserve"> primera vez y subsecuentes</w:t>
      </w:r>
      <w:r w:rsidRPr="00562F1B">
        <w:rPr>
          <w:rFonts w:ascii="Arial" w:hAnsi="Arial" w:cs="Arial"/>
          <w:color w:val="000000" w:themeColor="text1"/>
          <w:sz w:val="21"/>
          <w:szCs w:val="21"/>
        </w:rPr>
        <w:t xml:space="preserve">. Los motivos de consulta son: </w:t>
      </w:r>
    </w:p>
    <w:p w:rsidR="00F64222" w:rsidRPr="00562F1B" w:rsidRDefault="00F64222" w:rsidP="00F64222">
      <w:pPr>
        <w:tabs>
          <w:tab w:val="left" w:pos="19292"/>
          <w:tab w:val="left" w:pos="19505"/>
          <w:tab w:val="left" w:pos="19718"/>
        </w:tabs>
        <w:jc w:val="both"/>
        <w:rPr>
          <w:rFonts w:ascii="Arial" w:hAnsi="Arial" w:cs="Arial"/>
          <w:color w:val="000000" w:themeColor="text1"/>
          <w:sz w:val="21"/>
          <w:szCs w:val="21"/>
        </w:rPr>
      </w:pPr>
    </w:p>
    <w:p w:rsidR="00F64222" w:rsidRPr="00562F1B" w:rsidRDefault="00F64222" w:rsidP="00F64222">
      <w:pPr>
        <w:tabs>
          <w:tab w:val="left" w:pos="19292"/>
          <w:tab w:val="left" w:pos="19505"/>
          <w:tab w:val="left" w:pos="19718"/>
        </w:tabs>
        <w:jc w:val="both"/>
        <w:rPr>
          <w:rFonts w:ascii="Arial" w:hAnsi="Arial" w:cs="Arial"/>
          <w:color w:val="000000" w:themeColor="text1"/>
          <w:sz w:val="21"/>
          <w:szCs w:val="21"/>
        </w:rPr>
      </w:pPr>
      <w:r w:rsidRPr="00562F1B">
        <w:rPr>
          <w:rFonts w:ascii="Arial" w:hAnsi="Arial" w:cs="Arial"/>
          <w:color w:val="000000" w:themeColor="text1"/>
          <w:sz w:val="21"/>
          <w:szCs w:val="21"/>
        </w:rPr>
        <w:t xml:space="preserve">1) Atención a personas con VIH (incluye consultas médicas, psicológicas y dentales) </w:t>
      </w:r>
    </w:p>
    <w:p w:rsidR="00F64222" w:rsidRPr="00562F1B" w:rsidRDefault="00F64222" w:rsidP="00F64222">
      <w:pPr>
        <w:tabs>
          <w:tab w:val="left" w:pos="19292"/>
          <w:tab w:val="left" w:pos="19505"/>
          <w:tab w:val="left" w:pos="19718"/>
        </w:tabs>
        <w:jc w:val="both"/>
        <w:rPr>
          <w:rFonts w:ascii="Arial" w:hAnsi="Arial" w:cs="Arial"/>
          <w:color w:val="000000" w:themeColor="text1"/>
          <w:sz w:val="21"/>
          <w:szCs w:val="21"/>
        </w:rPr>
      </w:pPr>
      <w:r w:rsidRPr="00562F1B">
        <w:rPr>
          <w:rFonts w:ascii="Arial" w:hAnsi="Arial" w:cs="Arial"/>
          <w:color w:val="000000" w:themeColor="text1"/>
          <w:sz w:val="21"/>
          <w:szCs w:val="21"/>
        </w:rPr>
        <w:t xml:space="preserve">2) Atención a personas con ITS (consultas médicas)  </w:t>
      </w:r>
    </w:p>
    <w:p w:rsidR="00F64222" w:rsidRPr="00562F1B" w:rsidRDefault="00F64222" w:rsidP="00F64222">
      <w:pPr>
        <w:tabs>
          <w:tab w:val="left" w:pos="19292"/>
          <w:tab w:val="left" w:pos="19505"/>
          <w:tab w:val="left" w:pos="19718"/>
        </w:tabs>
        <w:jc w:val="both"/>
        <w:rPr>
          <w:rFonts w:ascii="Arial" w:hAnsi="Arial" w:cs="Arial"/>
          <w:color w:val="000000" w:themeColor="text1"/>
          <w:sz w:val="21"/>
          <w:szCs w:val="21"/>
        </w:rPr>
      </w:pPr>
      <w:r w:rsidRPr="00562F1B">
        <w:rPr>
          <w:rFonts w:ascii="Arial" w:hAnsi="Arial" w:cs="Arial"/>
          <w:color w:val="000000" w:themeColor="text1"/>
          <w:sz w:val="21"/>
          <w:szCs w:val="21"/>
        </w:rPr>
        <w:t>3) Prevención. Consulta informativa y de sensibilización sobre: sexo seguro y protegido; reducción del riesgo y daño; uso correcto y constante del condón para la prevención de ITS y del VIH, prevención a la salud y tratamiento hormonal.</w:t>
      </w:r>
    </w:p>
    <w:p w:rsidR="00F64222" w:rsidRPr="00562F1B" w:rsidRDefault="00F64222" w:rsidP="00F64222">
      <w:pPr>
        <w:tabs>
          <w:tab w:val="left" w:pos="19292"/>
          <w:tab w:val="left" w:pos="19505"/>
          <w:tab w:val="left" w:pos="19718"/>
        </w:tabs>
        <w:jc w:val="both"/>
        <w:rPr>
          <w:rFonts w:ascii="Arial" w:hAnsi="Arial" w:cs="Arial"/>
          <w:color w:val="000000" w:themeColor="text1"/>
          <w:sz w:val="21"/>
          <w:szCs w:val="21"/>
        </w:rPr>
      </w:pPr>
    </w:p>
    <w:p w:rsidR="00F64222" w:rsidRPr="00562F1B" w:rsidRDefault="00F64222" w:rsidP="00F64222">
      <w:pPr>
        <w:tabs>
          <w:tab w:val="left" w:pos="19292"/>
          <w:tab w:val="left" w:pos="19505"/>
          <w:tab w:val="left" w:pos="19718"/>
        </w:tabs>
        <w:jc w:val="both"/>
        <w:rPr>
          <w:rFonts w:ascii="Arial" w:hAnsi="Arial" w:cs="Arial"/>
          <w:color w:val="000000" w:themeColor="text1"/>
          <w:sz w:val="21"/>
          <w:szCs w:val="21"/>
        </w:rPr>
      </w:pPr>
      <w:r w:rsidRPr="00562F1B">
        <w:rPr>
          <w:rFonts w:ascii="Arial" w:hAnsi="Arial" w:cs="Arial"/>
          <w:b/>
          <w:color w:val="000000" w:themeColor="text1"/>
          <w:sz w:val="21"/>
          <w:szCs w:val="21"/>
        </w:rPr>
        <w:t>Condones entregados:</w:t>
      </w:r>
      <w:r w:rsidRPr="00562F1B">
        <w:rPr>
          <w:rFonts w:ascii="Arial" w:hAnsi="Arial" w:cs="Arial"/>
          <w:color w:val="000000" w:themeColor="text1"/>
          <w:sz w:val="21"/>
          <w:szCs w:val="21"/>
        </w:rPr>
        <w:t xml:space="preserve"> Anote el número total de condones o preservativos entregados según grupo poblacional, desagregado por:</w:t>
      </w:r>
    </w:p>
    <w:p w:rsidR="00F64222" w:rsidRPr="00562F1B" w:rsidRDefault="00F64222" w:rsidP="00F64222">
      <w:pPr>
        <w:tabs>
          <w:tab w:val="left" w:pos="19292"/>
          <w:tab w:val="left" w:pos="19505"/>
          <w:tab w:val="left" w:pos="19718"/>
        </w:tabs>
        <w:jc w:val="both"/>
        <w:rPr>
          <w:rFonts w:ascii="Arial" w:hAnsi="Arial" w:cs="Arial"/>
          <w:color w:val="000000" w:themeColor="text1"/>
          <w:sz w:val="21"/>
          <w:szCs w:val="21"/>
        </w:rPr>
      </w:pP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Mujeres con VIH e ITS.- Mujer con prueba presuntiva o confirmatoria positiva de VIH o alguna otra ITS.</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Hombres con VIH e ITS.- Hombre con prueba presuntiva o confirmatoria positiva de VIH o alguna otra ITS.</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 xml:space="preserve">Población Transgénero, Transexuales, Travestis e Intersexual (TTTI). </w:t>
      </w:r>
      <w:r w:rsidRPr="00562F1B">
        <w:rPr>
          <w:rFonts w:ascii="Arial" w:hAnsi="Arial" w:cs="Arial"/>
          <w:b/>
          <w:color w:val="000000" w:themeColor="text1"/>
          <w:sz w:val="21"/>
          <w:szCs w:val="21"/>
        </w:rPr>
        <w:t>Transgénero:</w:t>
      </w:r>
      <w:r w:rsidRPr="00562F1B">
        <w:rPr>
          <w:rFonts w:ascii="Arial" w:hAnsi="Arial" w:cs="Arial"/>
          <w:color w:val="000000" w:themeColor="text1"/>
          <w:sz w:val="21"/>
          <w:szCs w:val="21"/>
        </w:rPr>
        <w:t xml:space="preserve"> persona que vive (se expresa cotidianamente) en el papel que en su sociedad se considera propio del otro género. </w:t>
      </w:r>
      <w:r w:rsidRPr="00562F1B">
        <w:rPr>
          <w:rFonts w:ascii="Arial" w:hAnsi="Arial" w:cs="Arial"/>
          <w:b/>
          <w:color w:val="000000" w:themeColor="text1"/>
          <w:sz w:val="21"/>
          <w:szCs w:val="21"/>
        </w:rPr>
        <w:t>Transexual:</w:t>
      </w:r>
      <w:r w:rsidRPr="00562F1B">
        <w:rPr>
          <w:rFonts w:ascii="Arial" w:hAnsi="Arial" w:cs="Arial"/>
          <w:color w:val="000000" w:themeColor="text1"/>
          <w:sz w:val="21"/>
          <w:szCs w:val="21"/>
        </w:rPr>
        <w:t xml:space="preserve"> persona cuyo sexo (condición biológica) no corresponde a su identidad de género. Puede a no desear cambios quirúrgicos. Persona que nació con un sexo y se siente del otro. </w:t>
      </w:r>
      <w:r w:rsidRPr="00562F1B">
        <w:rPr>
          <w:rFonts w:ascii="Arial" w:hAnsi="Arial" w:cs="Arial"/>
          <w:b/>
          <w:color w:val="000000" w:themeColor="text1"/>
          <w:sz w:val="21"/>
          <w:szCs w:val="21"/>
        </w:rPr>
        <w:t>Travesti:</w:t>
      </w:r>
      <w:r w:rsidRPr="00562F1B">
        <w:rPr>
          <w:rFonts w:ascii="Arial" w:hAnsi="Arial" w:cs="Arial"/>
          <w:color w:val="000000" w:themeColor="text1"/>
          <w:sz w:val="21"/>
          <w:szCs w:val="21"/>
        </w:rPr>
        <w:t xml:space="preserve"> persona que gusta de presentar un aspecto, (usar las prendas y/o ademanes) considerados socialmente como propios del “otro" genero. ÉI o la travesti no desea alterar de forma permanente sus caracteres sexuales. EI travestismo no implica ser homosexual ni viceversa. </w:t>
      </w:r>
      <w:r w:rsidRPr="00562F1B">
        <w:rPr>
          <w:rFonts w:ascii="Arial" w:hAnsi="Arial" w:cs="Arial"/>
          <w:b/>
          <w:color w:val="000000" w:themeColor="text1"/>
          <w:sz w:val="21"/>
          <w:szCs w:val="21"/>
        </w:rPr>
        <w:t>Intersexual:</w:t>
      </w:r>
      <w:r w:rsidRPr="00562F1B">
        <w:rPr>
          <w:rFonts w:ascii="Arial" w:hAnsi="Arial" w:cs="Arial"/>
          <w:color w:val="000000" w:themeColor="text1"/>
          <w:sz w:val="21"/>
          <w:szCs w:val="21"/>
        </w:rPr>
        <w:t xml:space="preserve"> persona que presenta simultáneamente características anatómicas de ambos sexos. No todas las personas intersexuales presentan ambigüedad en los genitales Es diferente al hermafroditismo, que estrictamente se refiere a tener maduro tejido testicular y tejido ovárico.</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Mujeres trabajadoras sexuales</w:t>
      </w:r>
      <w:r w:rsidR="00A91E5E" w:rsidRPr="00562F1B">
        <w:rPr>
          <w:rFonts w:ascii="Arial" w:hAnsi="Arial" w:cs="Arial"/>
          <w:color w:val="000000" w:themeColor="text1"/>
          <w:sz w:val="21"/>
          <w:szCs w:val="21"/>
        </w:rPr>
        <w:t xml:space="preserve"> (MTS)</w:t>
      </w:r>
      <w:r w:rsidRPr="00562F1B">
        <w:rPr>
          <w:rFonts w:ascii="Arial" w:hAnsi="Arial" w:cs="Arial"/>
          <w:color w:val="000000" w:themeColor="text1"/>
          <w:sz w:val="21"/>
          <w:szCs w:val="21"/>
        </w:rPr>
        <w:t>.- Mujeres que tienen sexo a cambio de dinero o de algún bien.</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Hombres trabajadores sexuales</w:t>
      </w:r>
      <w:r w:rsidR="00A91E5E" w:rsidRPr="00562F1B">
        <w:rPr>
          <w:rFonts w:ascii="Arial" w:hAnsi="Arial" w:cs="Arial"/>
          <w:color w:val="000000" w:themeColor="text1"/>
          <w:sz w:val="21"/>
          <w:szCs w:val="21"/>
        </w:rPr>
        <w:t xml:space="preserve"> (HTS)</w:t>
      </w:r>
      <w:r w:rsidRPr="00562F1B">
        <w:rPr>
          <w:rFonts w:ascii="Arial" w:hAnsi="Arial" w:cs="Arial"/>
          <w:color w:val="000000" w:themeColor="text1"/>
          <w:sz w:val="21"/>
          <w:szCs w:val="21"/>
        </w:rPr>
        <w:t>.- Hombres que tienen sexo a cambio de dinero o de algún bien.</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Hombres que tienen sexo con hombres</w:t>
      </w:r>
      <w:r w:rsidR="00A91E5E" w:rsidRPr="00562F1B">
        <w:rPr>
          <w:rFonts w:ascii="Arial" w:hAnsi="Arial" w:cs="Arial"/>
          <w:color w:val="000000" w:themeColor="text1"/>
          <w:sz w:val="21"/>
          <w:szCs w:val="21"/>
        </w:rPr>
        <w:t xml:space="preserve"> (HSH)</w:t>
      </w:r>
      <w:r w:rsidRPr="00562F1B">
        <w:rPr>
          <w:rFonts w:ascii="Arial" w:hAnsi="Arial" w:cs="Arial"/>
          <w:color w:val="000000" w:themeColor="text1"/>
          <w:sz w:val="21"/>
          <w:szCs w:val="21"/>
        </w:rPr>
        <w:t>.- Hombres que tiene relaciones sexuales con hombres.</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Mujeres usuarias de drogas inyectables (MUDIS).</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lastRenderedPageBreak/>
        <w:t>Hombres usuarios de drogas inyectables (HUDIS).</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 xml:space="preserve">Poblaciones móviles.- Aquellas personas que no son originarias del lugar o que viajan constantemente (migrantes, camioneros, </w:t>
      </w:r>
      <w:proofErr w:type="spellStart"/>
      <w:r w:rsidRPr="00562F1B">
        <w:rPr>
          <w:rFonts w:ascii="Arial" w:hAnsi="Arial" w:cs="Arial"/>
          <w:color w:val="000000" w:themeColor="text1"/>
          <w:sz w:val="21"/>
          <w:szCs w:val="21"/>
        </w:rPr>
        <w:t>traileros</w:t>
      </w:r>
      <w:proofErr w:type="spellEnd"/>
      <w:r w:rsidRPr="00562F1B">
        <w:rPr>
          <w:rFonts w:ascii="Arial" w:hAnsi="Arial" w:cs="Arial"/>
          <w:color w:val="000000" w:themeColor="text1"/>
          <w:sz w:val="21"/>
          <w:szCs w:val="21"/>
        </w:rPr>
        <w:t>, etc.)</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 xml:space="preserve">Jóvenes de </w:t>
      </w:r>
      <w:smartTag w:uri="urn:schemas-microsoft-com:office:smarttags" w:element="metricconverter">
        <w:smartTagPr>
          <w:attr w:name="ProductID" w:val="15 a"/>
        </w:smartTagPr>
        <w:r w:rsidRPr="00562F1B">
          <w:rPr>
            <w:rFonts w:ascii="Arial" w:hAnsi="Arial" w:cs="Arial"/>
            <w:color w:val="000000" w:themeColor="text1"/>
            <w:sz w:val="21"/>
            <w:szCs w:val="21"/>
          </w:rPr>
          <w:t>15 a</w:t>
        </w:r>
      </w:smartTag>
      <w:r w:rsidRPr="00562F1B">
        <w:rPr>
          <w:rFonts w:ascii="Arial" w:hAnsi="Arial" w:cs="Arial"/>
          <w:color w:val="000000" w:themeColor="text1"/>
          <w:sz w:val="21"/>
          <w:szCs w:val="21"/>
        </w:rPr>
        <w:t xml:space="preserve"> 24 años de edad (mujeres y hombres).</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Mujeres heterosexuales.</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Hombres heterosexuales.</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 xml:space="preserve">Organizaciones de </w:t>
      </w:r>
      <w:smartTag w:uri="urn:schemas-microsoft-com:office:smarttags" w:element="PersonName">
        <w:smartTagPr>
          <w:attr w:name="ProductID" w:val="la Sociedad Civil"/>
        </w:smartTagPr>
        <w:r w:rsidRPr="00562F1B">
          <w:rPr>
            <w:rFonts w:ascii="Arial" w:hAnsi="Arial" w:cs="Arial"/>
            <w:color w:val="000000" w:themeColor="text1"/>
            <w:sz w:val="21"/>
            <w:szCs w:val="21"/>
          </w:rPr>
          <w:t>la Sociedad Civil</w:t>
        </w:r>
      </w:smartTag>
      <w:r w:rsidRPr="00562F1B">
        <w:rPr>
          <w:rFonts w:ascii="Arial" w:hAnsi="Arial" w:cs="Arial"/>
          <w:color w:val="000000" w:themeColor="text1"/>
          <w:sz w:val="21"/>
          <w:szCs w:val="21"/>
        </w:rPr>
        <w:t xml:space="preserve"> (OSC).</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Personas privadas de la libertad (mujeres y hombres).</w:t>
      </w:r>
    </w:p>
    <w:p w:rsidR="00F64222" w:rsidRPr="00562F1B" w:rsidRDefault="00F64222" w:rsidP="00F64222">
      <w:pPr>
        <w:numPr>
          <w:ilvl w:val="0"/>
          <w:numId w:val="3"/>
        </w:numPr>
        <w:jc w:val="both"/>
        <w:rPr>
          <w:rFonts w:ascii="Arial" w:hAnsi="Arial" w:cs="Arial"/>
          <w:color w:val="000000" w:themeColor="text1"/>
          <w:sz w:val="21"/>
          <w:szCs w:val="21"/>
        </w:rPr>
      </w:pPr>
      <w:r w:rsidRPr="00562F1B">
        <w:rPr>
          <w:rFonts w:ascii="Arial" w:hAnsi="Arial" w:cs="Arial"/>
          <w:color w:val="000000" w:themeColor="text1"/>
          <w:sz w:val="21"/>
          <w:szCs w:val="21"/>
        </w:rPr>
        <w:t>Otros.- Todas las personas que no se encuentran en las anteriores categorías.</w:t>
      </w:r>
    </w:p>
    <w:p w:rsidR="00F64222" w:rsidRPr="00562F1B" w:rsidRDefault="00F64222" w:rsidP="00F64222">
      <w:pPr>
        <w:jc w:val="both"/>
        <w:rPr>
          <w:rFonts w:ascii="Arial" w:hAnsi="Arial" w:cs="Arial"/>
          <w:color w:val="000000" w:themeColor="text1"/>
          <w:sz w:val="21"/>
          <w:szCs w:val="21"/>
        </w:rPr>
      </w:pPr>
    </w:p>
    <w:p w:rsidR="00F64222" w:rsidRPr="00562F1B" w:rsidRDefault="00F64222" w:rsidP="00F64222">
      <w:pPr>
        <w:jc w:val="both"/>
        <w:rPr>
          <w:rFonts w:ascii="Arial" w:hAnsi="Arial" w:cs="Arial"/>
          <w:color w:val="000000" w:themeColor="text1"/>
          <w:sz w:val="21"/>
          <w:szCs w:val="21"/>
        </w:rPr>
      </w:pPr>
      <w:r w:rsidRPr="00562F1B">
        <w:rPr>
          <w:rFonts w:ascii="Arial" w:hAnsi="Arial" w:cs="Arial"/>
          <w:color w:val="000000" w:themeColor="text1"/>
          <w:sz w:val="21"/>
          <w:szCs w:val="21"/>
        </w:rPr>
        <w:t xml:space="preserve">Cuando una persona pertenece a más de un grupo poblacional, el criterio para definir en cuál se registra, será el grupo que presenta la mayor prevalencia de VIH, según el siguiente cuadro. En el caso del grupo de jóvenes, heterosexuales o poblaciones móviles, se anotará como población general, si no pertenecen a otro de los grupos poblacionales de mayor prevalencia: </w:t>
      </w:r>
    </w:p>
    <w:p w:rsidR="00F64222" w:rsidRPr="00562F1B" w:rsidRDefault="00F64222" w:rsidP="00F64222">
      <w:pPr>
        <w:jc w:val="both"/>
        <w:rPr>
          <w:rFonts w:ascii="Arial" w:hAnsi="Arial" w:cs="Arial"/>
          <w:color w:val="000000" w:themeColor="text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21"/>
        <w:gridCol w:w="113"/>
      </w:tblGrid>
      <w:tr w:rsidR="00562F1B" w:rsidRPr="00562F1B" w:rsidTr="00276D7C">
        <w:trPr>
          <w:jc w:val="center"/>
        </w:trPr>
        <w:tc>
          <w:tcPr>
            <w:tcW w:w="5885" w:type="dxa"/>
            <w:gridSpan w:val="3"/>
            <w:shd w:val="clear" w:color="auto" w:fill="auto"/>
          </w:tcPr>
          <w:p w:rsidR="00F64222" w:rsidRPr="00562F1B" w:rsidRDefault="00F64222" w:rsidP="00276D7C">
            <w:pPr>
              <w:jc w:val="center"/>
              <w:rPr>
                <w:rFonts w:ascii="Calibri" w:eastAsia="Calibri" w:hAnsi="Calibri"/>
                <w:b/>
                <w:color w:val="000000" w:themeColor="text1"/>
                <w:sz w:val="22"/>
                <w:szCs w:val="22"/>
              </w:rPr>
            </w:pPr>
            <w:r w:rsidRPr="00562F1B">
              <w:rPr>
                <w:rFonts w:ascii="Calibri" w:eastAsia="Calibri" w:hAnsi="Calibri"/>
                <w:b/>
                <w:color w:val="000000" w:themeColor="text1"/>
                <w:sz w:val="22"/>
                <w:szCs w:val="22"/>
              </w:rPr>
              <w:t>Prevalencias de VIH según poblaciones</w:t>
            </w:r>
          </w:p>
        </w:tc>
      </w:tr>
      <w:tr w:rsidR="00562F1B" w:rsidRPr="00562F1B" w:rsidTr="00276D7C">
        <w:trPr>
          <w:jc w:val="center"/>
        </w:trPr>
        <w:tc>
          <w:tcPr>
            <w:tcW w:w="3964" w:type="dxa"/>
            <w:shd w:val="clear" w:color="auto" w:fill="auto"/>
          </w:tcPr>
          <w:p w:rsidR="00F64222" w:rsidRPr="00562F1B" w:rsidRDefault="00F64222" w:rsidP="00276D7C">
            <w:pPr>
              <w:rPr>
                <w:rFonts w:ascii="Calibri" w:eastAsia="Calibri" w:hAnsi="Calibri"/>
                <w:color w:val="000000" w:themeColor="text1"/>
                <w:sz w:val="22"/>
                <w:szCs w:val="22"/>
              </w:rPr>
            </w:pPr>
            <w:r w:rsidRPr="00562F1B">
              <w:rPr>
                <w:rFonts w:ascii="Calibri" w:eastAsia="Calibri" w:hAnsi="Calibri"/>
                <w:color w:val="000000" w:themeColor="text1"/>
                <w:sz w:val="22"/>
                <w:szCs w:val="22"/>
              </w:rPr>
              <w:t>Grupo de población</w:t>
            </w:r>
          </w:p>
        </w:tc>
        <w:tc>
          <w:tcPr>
            <w:tcW w:w="1921" w:type="dxa"/>
            <w:gridSpan w:val="2"/>
            <w:shd w:val="clear" w:color="auto" w:fill="auto"/>
          </w:tcPr>
          <w:p w:rsidR="00F64222" w:rsidRPr="00562F1B" w:rsidRDefault="00F64222" w:rsidP="00276D7C">
            <w:pPr>
              <w:jc w:val="center"/>
              <w:rPr>
                <w:rFonts w:ascii="Calibri" w:eastAsia="Calibri" w:hAnsi="Calibri"/>
                <w:color w:val="000000" w:themeColor="text1"/>
                <w:sz w:val="22"/>
                <w:szCs w:val="22"/>
              </w:rPr>
            </w:pPr>
            <w:r w:rsidRPr="00562F1B">
              <w:rPr>
                <w:rFonts w:ascii="Calibri" w:eastAsia="Calibri" w:hAnsi="Calibri"/>
                <w:color w:val="000000" w:themeColor="text1"/>
                <w:sz w:val="22"/>
                <w:szCs w:val="22"/>
              </w:rPr>
              <w:t>Prevalencia de VIH %</w:t>
            </w:r>
          </w:p>
        </w:tc>
      </w:tr>
      <w:tr w:rsidR="00562F1B" w:rsidRPr="00562F1B" w:rsidTr="00276D7C">
        <w:trPr>
          <w:jc w:val="center"/>
        </w:trPr>
        <w:tc>
          <w:tcPr>
            <w:tcW w:w="3964" w:type="dxa"/>
            <w:shd w:val="clear" w:color="auto" w:fill="auto"/>
            <w:vAlign w:val="center"/>
          </w:tcPr>
          <w:p w:rsidR="00F64222" w:rsidRPr="00562F1B" w:rsidRDefault="00F64222" w:rsidP="00276D7C">
            <w:pPr>
              <w:rPr>
                <w:rFonts w:ascii="Calibri" w:eastAsia="Calibri" w:hAnsi="Calibri"/>
                <w:color w:val="000000" w:themeColor="text1"/>
                <w:sz w:val="22"/>
                <w:szCs w:val="22"/>
              </w:rPr>
            </w:pPr>
            <w:r w:rsidRPr="00562F1B">
              <w:rPr>
                <w:rFonts w:ascii="Calibri" w:eastAsia="Calibri" w:hAnsi="Calibri"/>
                <w:color w:val="000000" w:themeColor="text1"/>
                <w:sz w:val="22"/>
                <w:szCs w:val="22"/>
              </w:rPr>
              <w:t>HTS</w:t>
            </w:r>
            <w:r w:rsidRPr="00562F1B">
              <w:rPr>
                <w:rFonts w:ascii="Calibri" w:eastAsia="Calibri" w:hAnsi="Calibri"/>
                <w:color w:val="000000" w:themeColor="text1"/>
                <w:sz w:val="22"/>
                <w:szCs w:val="22"/>
                <w:vertAlign w:val="superscript"/>
              </w:rPr>
              <w:t>1</w:t>
            </w:r>
          </w:p>
        </w:tc>
        <w:tc>
          <w:tcPr>
            <w:tcW w:w="1921" w:type="dxa"/>
            <w:gridSpan w:val="2"/>
            <w:shd w:val="clear" w:color="auto" w:fill="auto"/>
            <w:vAlign w:val="center"/>
          </w:tcPr>
          <w:p w:rsidR="00F64222" w:rsidRPr="00562F1B" w:rsidRDefault="00F64222" w:rsidP="00276D7C">
            <w:pPr>
              <w:jc w:val="center"/>
              <w:rPr>
                <w:rFonts w:ascii="Calibri" w:eastAsia="Calibri" w:hAnsi="Calibri"/>
                <w:color w:val="000000" w:themeColor="text1"/>
                <w:sz w:val="22"/>
                <w:szCs w:val="22"/>
              </w:rPr>
            </w:pPr>
            <w:r w:rsidRPr="00562F1B">
              <w:rPr>
                <w:rFonts w:ascii="Calibri" w:eastAsia="Calibri" w:hAnsi="Calibri"/>
                <w:color w:val="000000" w:themeColor="text1"/>
                <w:sz w:val="22"/>
                <w:szCs w:val="22"/>
              </w:rPr>
              <w:t>24.1%</w:t>
            </w:r>
          </w:p>
        </w:tc>
      </w:tr>
      <w:tr w:rsidR="00562F1B" w:rsidRPr="00562F1B" w:rsidTr="00276D7C">
        <w:trPr>
          <w:jc w:val="center"/>
        </w:trPr>
        <w:tc>
          <w:tcPr>
            <w:tcW w:w="3964" w:type="dxa"/>
            <w:shd w:val="clear" w:color="auto" w:fill="auto"/>
            <w:vAlign w:val="center"/>
          </w:tcPr>
          <w:p w:rsidR="00F64222" w:rsidRPr="00562F1B" w:rsidRDefault="00F64222" w:rsidP="00276D7C">
            <w:pPr>
              <w:rPr>
                <w:rFonts w:ascii="Calibri" w:eastAsia="Calibri" w:hAnsi="Calibri"/>
                <w:color w:val="000000" w:themeColor="text1"/>
                <w:sz w:val="22"/>
                <w:szCs w:val="22"/>
              </w:rPr>
            </w:pPr>
            <w:r w:rsidRPr="00562F1B">
              <w:rPr>
                <w:rFonts w:ascii="Calibri" w:eastAsia="Calibri" w:hAnsi="Calibri"/>
                <w:color w:val="000000" w:themeColor="text1"/>
                <w:sz w:val="22"/>
                <w:szCs w:val="22"/>
              </w:rPr>
              <w:t>Transgénero (TTT</w:t>
            </w:r>
            <w:r w:rsidR="00A91E5E" w:rsidRPr="00562F1B">
              <w:rPr>
                <w:rFonts w:ascii="Calibri" w:eastAsia="Calibri" w:hAnsi="Calibri"/>
                <w:color w:val="000000" w:themeColor="text1"/>
                <w:sz w:val="22"/>
                <w:szCs w:val="22"/>
              </w:rPr>
              <w:t>I</w:t>
            </w:r>
            <w:r w:rsidRPr="00562F1B">
              <w:rPr>
                <w:rFonts w:ascii="Calibri" w:eastAsia="Calibri" w:hAnsi="Calibri"/>
                <w:color w:val="000000" w:themeColor="text1"/>
                <w:sz w:val="22"/>
                <w:szCs w:val="22"/>
              </w:rPr>
              <w:t>)</w:t>
            </w:r>
            <w:r w:rsidRPr="00562F1B">
              <w:rPr>
                <w:rFonts w:ascii="Calibri" w:eastAsia="Calibri" w:hAnsi="Calibri"/>
                <w:color w:val="000000" w:themeColor="text1"/>
                <w:sz w:val="22"/>
                <w:szCs w:val="22"/>
                <w:vertAlign w:val="superscript"/>
              </w:rPr>
              <w:t>1</w:t>
            </w:r>
          </w:p>
        </w:tc>
        <w:tc>
          <w:tcPr>
            <w:tcW w:w="1921" w:type="dxa"/>
            <w:gridSpan w:val="2"/>
            <w:shd w:val="clear" w:color="auto" w:fill="auto"/>
            <w:vAlign w:val="center"/>
          </w:tcPr>
          <w:p w:rsidR="00F64222" w:rsidRPr="00562F1B" w:rsidRDefault="00F64222" w:rsidP="00276D7C">
            <w:pPr>
              <w:jc w:val="center"/>
              <w:rPr>
                <w:rFonts w:ascii="Calibri" w:eastAsia="Calibri" w:hAnsi="Calibri"/>
                <w:color w:val="000000" w:themeColor="text1"/>
                <w:sz w:val="22"/>
                <w:szCs w:val="22"/>
              </w:rPr>
            </w:pPr>
            <w:r w:rsidRPr="00562F1B">
              <w:rPr>
                <w:rFonts w:ascii="Calibri" w:eastAsia="Calibri" w:hAnsi="Calibri"/>
                <w:color w:val="000000" w:themeColor="text1"/>
                <w:sz w:val="22"/>
                <w:szCs w:val="22"/>
              </w:rPr>
              <w:t>15- 20%</w:t>
            </w:r>
          </w:p>
        </w:tc>
      </w:tr>
      <w:tr w:rsidR="00562F1B" w:rsidRPr="00562F1B" w:rsidTr="00276D7C">
        <w:trPr>
          <w:jc w:val="center"/>
        </w:trPr>
        <w:tc>
          <w:tcPr>
            <w:tcW w:w="3964" w:type="dxa"/>
            <w:shd w:val="clear" w:color="auto" w:fill="auto"/>
            <w:vAlign w:val="center"/>
          </w:tcPr>
          <w:p w:rsidR="00F64222" w:rsidRPr="00562F1B" w:rsidRDefault="00F64222" w:rsidP="00276D7C">
            <w:pPr>
              <w:rPr>
                <w:rFonts w:ascii="Calibri" w:eastAsia="Calibri" w:hAnsi="Calibri"/>
                <w:color w:val="000000" w:themeColor="text1"/>
                <w:sz w:val="22"/>
                <w:szCs w:val="22"/>
              </w:rPr>
            </w:pPr>
            <w:r w:rsidRPr="00562F1B">
              <w:rPr>
                <w:rFonts w:ascii="Calibri" w:eastAsia="Calibri" w:hAnsi="Calibri"/>
                <w:color w:val="000000" w:themeColor="text1"/>
                <w:sz w:val="22"/>
                <w:szCs w:val="22"/>
              </w:rPr>
              <w:t>HSH</w:t>
            </w:r>
            <w:r w:rsidRPr="00562F1B">
              <w:rPr>
                <w:rFonts w:ascii="Calibri" w:eastAsia="Calibri" w:hAnsi="Calibri"/>
                <w:color w:val="000000" w:themeColor="text1"/>
                <w:sz w:val="22"/>
                <w:szCs w:val="22"/>
                <w:vertAlign w:val="superscript"/>
              </w:rPr>
              <w:t>1 y 2</w:t>
            </w:r>
          </w:p>
        </w:tc>
        <w:tc>
          <w:tcPr>
            <w:tcW w:w="1921" w:type="dxa"/>
            <w:gridSpan w:val="2"/>
            <w:shd w:val="clear" w:color="auto" w:fill="auto"/>
            <w:vAlign w:val="center"/>
          </w:tcPr>
          <w:p w:rsidR="00F64222" w:rsidRPr="00562F1B" w:rsidRDefault="00F64222" w:rsidP="00276D7C">
            <w:pPr>
              <w:jc w:val="center"/>
              <w:rPr>
                <w:rFonts w:ascii="Calibri" w:eastAsia="Calibri" w:hAnsi="Calibri"/>
                <w:color w:val="000000" w:themeColor="text1"/>
                <w:sz w:val="22"/>
                <w:szCs w:val="22"/>
              </w:rPr>
            </w:pPr>
            <w:r w:rsidRPr="00562F1B">
              <w:rPr>
                <w:rFonts w:ascii="Calibri" w:eastAsia="Calibri" w:hAnsi="Calibri"/>
                <w:color w:val="000000" w:themeColor="text1"/>
                <w:sz w:val="22"/>
                <w:szCs w:val="22"/>
              </w:rPr>
              <w:t>12.2 -17.3%</w:t>
            </w:r>
          </w:p>
        </w:tc>
      </w:tr>
      <w:tr w:rsidR="00562F1B" w:rsidRPr="00562F1B" w:rsidTr="00276D7C">
        <w:trPr>
          <w:jc w:val="center"/>
        </w:trPr>
        <w:tc>
          <w:tcPr>
            <w:tcW w:w="3964" w:type="dxa"/>
            <w:shd w:val="clear" w:color="auto" w:fill="auto"/>
            <w:vAlign w:val="center"/>
          </w:tcPr>
          <w:p w:rsidR="00F64222" w:rsidRPr="00562F1B" w:rsidRDefault="00F64222" w:rsidP="00276D7C">
            <w:pPr>
              <w:rPr>
                <w:rFonts w:ascii="Calibri" w:eastAsia="Calibri" w:hAnsi="Calibri"/>
                <w:color w:val="000000" w:themeColor="text1"/>
                <w:sz w:val="22"/>
                <w:szCs w:val="22"/>
              </w:rPr>
            </w:pPr>
            <w:r w:rsidRPr="00562F1B">
              <w:rPr>
                <w:rFonts w:ascii="Calibri" w:eastAsia="Calibri" w:hAnsi="Calibri"/>
                <w:color w:val="000000" w:themeColor="text1"/>
                <w:sz w:val="22"/>
                <w:szCs w:val="22"/>
              </w:rPr>
              <w:t>Pudi</w:t>
            </w:r>
            <w:r w:rsidRPr="00562F1B">
              <w:rPr>
                <w:rFonts w:ascii="Calibri" w:eastAsia="Calibri" w:hAnsi="Calibri"/>
                <w:color w:val="000000" w:themeColor="text1"/>
                <w:sz w:val="22"/>
                <w:szCs w:val="22"/>
                <w:vertAlign w:val="superscript"/>
              </w:rPr>
              <w:t>3</w:t>
            </w:r>
          </w:p>
        </w:tc>
        <w:tc>
          <w:tcPr>
            <w:tcW w:w="1921" w:type="dxa"/>
            <w:gridSpan w:val="2"/>
            <w:shd w:val="clear" w:color="auto" w:fill="auto"/>
            <w:vAlign w:val="center"/>
          </w:tcPr>
          <w:p w:rsidR="00F64222" w:rsidRPr="00562F1B" w:rsidRDefault="00F64222" w:rsidP="00276D7C">
            <w:pPr>
              <w:jc w:val="center"/>
              <w:rPr>
                <w:rFonts w:ascii="Calibri" w:eastAsia="Calibri" w:hAnsi="Calibri"/>
                <w:color w:val="000000" w:themeColor="text1"/>
                <w:sz w:val="22"/>
                <w:szCs w:val="22"/>
              </w:rPr>
            </w:pPr>
            <w:r w:rsidRPr="00562F1B">
              <w:rPr>
                <w:rFonts w:ascii="Calibri" w:eastAsia="Calibri" w:hAnsi="Calibri"/>
                <w:color w:val="000000" w:themeColor="text1"/>
                <w:sz w:val="22"/>
                <w:szCs w:val="22"/>
              </w:rPr>
              <w:t>5.8%</w:t>
            </w:r>
          </w:p>
        </w:tc>
      </w:tr>
      <w:tr w:rsidR="00562F1B" w:rsidRPr="00562F1B" w:rsidTr="00276D7C">
        <w:trPr>
          <w:jc w:val="center"/>
        </w:trPr>
        <w:tc>
          <w:tcPr>
            <w:tcW w:w="3964" w:type="dxa"/>
            <w:tcBorders>
              <w:bottom w:val="single" w:sz="4" w:space="0" w:color="auto"/>
            </w:tcBorders>
            <w:shd w:val="clear" w:color="auto" w:fill="auto"/>
            <w:vAlign w:val="center"/>
          </w:tcPr>
          <w:p w:rsidR="00F64222" w:rsidRPr="00562F1B" w:rsidRDefault="00F64222" w:rsidP="00276D7C">
            <w:pPr>
              <w:rPr>
                <w:rFonts w:ascii="Calibri" w:eastAsia="Calibri" w:hAnsi="Calibri"/>
                <w:color w:val="000000" w:themeColor="text1"/>
                <w:sz w:val="22"/>
                <w:szCs w:val="22"/>
              </w:rPr>
            </w:pPr>
            <w:r w:rsidRPr="00562F1B">
              <w:rPr>
                <w:rFonts w:ascii="Calibri" w:eastAsia="Calibri" w:hAnsi="Calibri"/>
                <w:color w:val="000000" w:themeColor="text1"/>
                <w:sz w:val="22"/>
                <w:szCs w:val="22"/>
              </w:rPr>
              <w:t>MTS</w:t>
            </w:r>
            <w:r w:rsidRPr="00562F1B">
              <w:rPr>
                <w:rFonts w:ascii="Calibri" w:eastAsia="Calibri" w:hAnsi="Calibri"/>
                <w:color w:val="000000" w:themeColor="text1"/>
                <w:sz w:val="22"/>
                <w:szCs w:val="22"/>
                <w:vertAlign w:val="superscript"/>
              </w:rPr>
              <w:t>2</w:t>
            </w:r>
          </w:p>
        </w:tc>
        <w:tc>
          <w:tcPr>
            <w:tcW w:w="1921" w:type="dxa"/>
            <w:gridSpan w:val="2"/>
            <w:tcBorders>
              <w:bottom w:val="single" w:sz="4" w:space="0" w:color="auto"/>
            </w:tcBorders>
            <w:shd w:val="clear" w:color="auto" w:fill="auto"/>
            <w:vAlign w:val="center"/>
          </w:tcPr>
          <w:p w:rsidR="00F64222" w:rsidRPr="00562F1B" w:rsidRDefault="00F64222" w:rsidP="00276D7C">
            <w:pPr>
              <w:jc w:val="center"/>
              <w:rPr>
                <w:rFonts w:ascii="Calibri" w:eastAsia="Calibri" w:hAnsi="Calibri"/>
                <w:color w:val="000000" w:themeColor="text1"/>
                <w:sz w:val="22"/>
                <w:szCs w:val="22"/>
              </w:rPr>
            </w:pPr>
            <w:r w:rsidRPr="00562F1B">
              <w:rPr>
                <w:rFonts w:ascii="Calibri" w:eastAsia="Calibri" w:hAnsi="Calibri"/>
                <w:color w:val="000000" w:themeColor="text1"/>
                <w:sz w:val="22"/>
                <w:szCs w:val="22"/>
              </w:rPr>
              <w:t>0.7%</w:t>
            </w:r>
          </w:p>
        </w:tc>
      </w:tr>
      <w:tr w:rsidR="00562F1B" w:rsidRPr="00562F1B" w:rsidTr="00276D7C">
        <w:trPr>
          <w:jc w:val="center"/>
        </w:trPr>
        <w:tc>
          <w:tcPr>
            <w:tcW w:w="3964" w:type="dxa"/>
            <w:tcBorders>
              <w:bottom w:val="single" w:sz="4" w:space="0" w:color="auto"/>
            </w:tcBorders>
            <w:shd w:val="clear" w:color="auto" w:fill="auto"/>
            <w:vAlign w:val="center"/>
          </w:tcPr>
          <w:p w:rsidR="00F64222" w:rsidRPr="00562F1B" w:rsidRDefault="00F64222" w:rsidP="00276D7C">
            <w:pPr>
              <w:rPr>
                <w:rFonts w:ascii="Calibri" w:eastAsia="Calibri" w:hAnsi="Calibri"/>
                <w:color w:val="000000" w:themeColor="text1"/>
                <w:sz w:val="22"/>
                <w:szCs w:val="22"/>
              </w:rPr>
            </w:pPr>
            <w:r w:rsidRPr="00562F1B">
              <w:rPr>
                <w:rFonts w:ascii="Calibri" w:eastAsia="Calibri" w:hAnsi="Calibri"/>
                <w:color w:val="000000" w:themeColor="text1"/>
                <w:sz w:val="22"/>
                <w:szCs w:val="22"/>
              </w:rPr>
              <w:t>Población 15-49 años</w:t>
            </w:r>
            <w:r w:rsidRPr="00562F1B">
              <w:rPr>
                <w:rFonts w:ascii="Calibri" w:eastAsia="Calibri" w:hAnsi="Calibri"/>
                <w:color w:val="000000" w:themeColor="text1"/>
                <w:sz w:val="22"/>
                <w:szCs w:val="22"/>
                <w:vertAlign w:val="superscript"/>
              </w:rPr>
              <w:t>5</w:t>
            </w:r>
          </w:p>
        </w:tc>
        <w:tc>
          <w:tcPr>
            <w:tcW w:w="1921" w:type="dxa"/>
            <w:gridSpan w:val="2"/>
            <w:tcBorders>
              <w:bottom w:val="single" w:sz="4" w:space="0" w:color="auto"/>
            </w:tcBorders>
            <w:shd w:val="clear" w:color="auto" w:fill="auto"/>
            <w:vAlign w:val="bottom"/>
          </w:tcPr>
          <w:p w:rsidR="00F64222" w:rsidRPr="00562F1B" w:rsidRDefault="00F64222" w:rsidP="00276D7C">
            <w:pPr>
              <w:jc w:val="center"/>
              <w:rPr>
                <w:rFonts w:ascii="Calibri" w:eastAsia="Calibri" w:hAnsi="Calibri"/>
                <w:color w:val="000000" w:themeColor="text1"/>
                <w:sz w:val="22"/>
                <w:szCs w:val="22"/>
              </w:rPr>
            </w:pPr>
            <w:r w:rsidRPr="00562F1B">
              <w:rPr>
                <w:rFonts w:ascii="Calibri" w:eastAsia="Calibri" w:hAnsi="Calibri"/>
                <w:color w:val="000000" w:themeColor="text1"/>
                <w:sz w:val="22"/>
                <w:szCs w:val="22"/>
              </w:rPr>
              <w:t>0.15%</w:t>
            </w:r>
          </w:p>
        </w:tc>
      </w:tr>
      <w:tr w:rsidR="00562F1B" w:rsidRPr="00562F1B" w:rsidTr="00276D7C">
        <w:trPr>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F64222" w:rsidRPr="00562F1B" w:rsidRDefault="00F64222" w:rsidP="00276D7C">
            <w:pPr>
              <w:rPr>
                <w:rFonts w:ascii="Calibri" w:eastAsia="Calibri" w:hAnsi="Calibri"/>
                <w:color w:val="000000" w:themeColor="text1"/>
                <w:sz w:val="22"/>
                <w:szCs w:val="22"/>
              </w:rPr>
            </w:pPr>
            <w:r w:rsidRPr="00562F1B">
              <w:rPr>
                <w:rFonts w:ascii="Calibri" w:eastAsia="Calibri" w:hAnsi="Calibri"/>
                <w:color w:val="000000" w:themeColor="text1"/>
                <w:sz w:val="22"/>
                <w:szCs w:val="22"/>
              </w:rPr>
              <w:t>Embarazadas</w:t>
            </w:r>
            <w:r w:rsidRPr="00562F1B">
              <w:rPr>
                <w:rFonts w:ascii="Calibri" w:eastAsia="Calibri" w:hAnsi="Calibri"/>
                <w:color w:val="000000" w:themeColor="text1"/>
                <w:sz w:val="22"/>
                <w:szCs w:val="22"/>
                <w:vertAlign w:val="superscript"/>
              </w:rPr>
              <w:t>5</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222" w:rsidRPr="00562F1B" w:rsidRDefault="00F64222" w:rsidP="00276D7C">
            <w:pPr>
              <w:jc w:val="center"/>
              <w:rPr>
                <w:rFonts w:ascii="Calibri" w:eastAsia="Calibri" w:hAnsi="Calibri"/>
                <w:color w:val="000000" w:themeColor="text1"/>
                <w:sz w:val="22"/>
                <w:szCs w:val="22"/>
              </w:rPr>
            </w:pPr>
            <w:r w:rsidRPr="00562F1B">
              <w:rPr>
                <w:rFonts w:ascii="Calibri" w:eastAsia="Calibri" w:hAnsi="Calibri"/>
                <w:color w:val="000000" w:themeColor="text1"/>
                <w:sz w:val="22"/>
                <w:szCs w:val="22"/>
              </w:rPr>
              <w:t>0.07%</w:t>
            </w:r>
          </w:p>
        </w:tc>
      </w:tr>
      <w:tr w:rsidR="00562F1B" w:rsidRPr="00562F1B" w:rsidTr="00276D7C">
        <w:trPr>
          <w:gridAfter w:val="1"/>
          <w:wAfter w:w="113" w:type="dxa"/>
          <w:jc w:val="center"/>
        </w:trPr>
        <w:tc>
          <w:tcPr>
            <w:tcW w:w="5885" w:type="dxa"/>
            <w:gridSpan w:val="2"/>
            <w:tcBorders>
              <w:top w:val="nil"/>
              <w:left w:val="nil"/>
              <w:bottom w:val="nil"/>
              <w:right w:val="nil"/>
            </w:tcBorders>
            <w:shd w:val="clear" w:color="auto" w:fill="auto"/>
            <w:vAlign w:val="center"/>
          </w:tcPr>
          <w:p w:rsidR="00F64222" w:rsidRPr="00562F1B" w:rsidRDefault="00F64222" w:rsidP="00276D7C">
            <w:pPr>
              <w:jc w:val="both"/>
              <w:rPr>
                <w:rFonts w:ascii="Calibri" w:eastAsia="Calibri" w:hAnsi="Calibri"/>
                <w:color w:val="000000" w:themeColor="text1"/>
                <w:sz w:val="16"/>
                <w:szCs w:val="16"/>
              </w:rPr>
            </w:pPr>
            <w:r w:rsidRPr="00562F1B">
              <w:rPr>
                <w:rFonts w:ascii="Calibri" w:eastAsia="Calibri" w:hAnsi="Calibri"/>
                <w:color w:val="000000" w:themeColor="text1"/>
                <w:sz w:val="16"/>
                <w:szCs w:val="16"/>
              </w:rPr>
              <w:t xml:space="preserve">1. Bautista-Arredondo S., Colchero M.A., Cortés M.A., Sosa-Rubí S.G., Romero M. Encuesta de seguimiento y análisis para la evaluación de impacto de las estrategias de prevención de VIH/SIDA. Reporte a FUNSALUD, Marzo 2014. </w:t>
            </w:r>
          </w:p>
        </w:tc>
      </w:tr>
      <w:tr w:rsidR="00562F1B" w:rsidRPr="00562F1B" w:rsidTr="00276D7C">
        <w:trPr>
          <w:gridAfter w:val="1"/>
          <w:wAfter w:w="113" w:type="dxa"/>
          <w:jc w:val="center"/>
        </w:trPr>
        <w:tc>
          <w:tcPr>
            <w:tcW w:w="5885" w:type="dxa"/>
            <w:gridSpan w:val="2"/>
            <w:tcBorders>
              <w:top w:val="nil"/>
              <w:left w:val="nil"/>
              <w:bottom w:val="nil"/>
              <w:right w:val="nil"/>
            </w:tcBorders>
            <w:shd w:val="clear" w:color="auto" w:fill="auto"/>
            <w:vAlign w:val="center"/>
          </w:tcPr>
          <w:p w:rsidR="00F64222" w:rsidRPr="00562F1B" w:rsidRDefault="00F64222" w:rsidP="00276D7C">
            <w:pPr>
              <w:jc w:val="both"/>
              <w:rPr>
                <w:rFonts w:ascii="Calibri" w:eastAsia="Calibri" w:hAnsi="Calibri"/>
                <w:color w:val="000000" w:themeColor="text1"/>
                <w:sz w:val="16"/>
                <w:szCs w:val="16"/>
              </w:rPr>
            </w:pPr>
            <w:r w:rsidRPr="00562F1B">
              <w:rPr>
                <w:rFonts w:ascii="Calibri" w:eastAsia="Calibri" w:hAnsi="Calibri"/>
                <w:color w:val="000000" w:themeColor="text1"/>
                <w:sz w:val="16"/>
                <w:szCs w:val="16"/>
              </w:rPr>
              <w:t xml:space="preserve">2. Juan Pablo Gutiérrez, Aurora Franco </w:t>
            </w:r>
            <w:proofErr w:type="spellStart"/>
            <w:r w:rsidRPr="00562F1B">
              <w:rPr>
                <w:rFonts w:ascii="Calibri" w:eastAsia="Calibri" w:hAnsi="Calibri"/>
                <w:color w:val="000000" w:themeColor="text1"/>
                <w:sz w:val="16"/>
                <w:szCs w:val="16"/>
              </w:rPr>
              <w:t>Nuñez</w:t>
            </w:r>
            <w:proofErr w:type="spellEnd"/>
            <w:r w:rsidRPr="00562F1B">
              <w:rPr>
                <w:rFonts w:ascii="Calibri" w:eastAsia="Calibri" w:hAnsi="Calibri"/>
                <w:color w:val="000000" w:themeColor="text1"/>
                <w:sz w:val="16"/>
                <w:szCs w:val="16"/>
              </w:rPr>
              <w:t xml:space="preserve">, Diana </w:t>
            </w:r>
            <w:proofErr w:type="spellStart"/>
            <w:r w:rsidRPr="00562F1B">
              <w:rPr>
                <w:rFonts w:ascii="Calibri" w:eastAsia="Calibri" w:hAnsi="Calibri"/>
                <w:color w:val="000000" w:themeColor="text1"/>
                <w:sz w:val="16"/>
                <w:szCs w:val="16"/>
              </w:rPr>
              <w:t>Nicte-Há</w:t>
            </w:r>
            <w:proofErr w:type="spellEnd"/>
            <w:r w:rsidRPr="00562F1B">
              <w:rPr>
                <w:rFonts w:ascii="Calibri" w:eastAsia="Calibri" w:hAnsi="Calibri"/>
                <w:color w:val="000000" w:themeColor="text1"/>
                <w:sz w:val="16"/>
                <w:szCs w:val="16"/>
              </w:rPr>
              <w:t xml:space="preserve"> Sansores Martínez, </w:t>
            </w:r>
            <w:proofErr w:type="spellStart"/>
            <w:r w:rsidRPr="00562F1B">
              <w:rPr>
                <w:rFonts w:ascii="Calibri" w:eastAsia="Calibri" w:hAnsi="Calibri"/>
                <w:color w:val="000000" w:themeColor="text1"/>
                <w:sz w:val="16"/>
                <w:szCs w:val="16"/>
              </w:rPr>
              <w:t>Andrey</w:t>
            </w:r>
            <w:proofErr w:type="spellEnd"/>
            <w:r w:rsidRPr="00562F1B">
              <w:rPr>
                <w:rFonts w:ascii="Calibri" w:eastAsia="Calibri" w:hAnsi="Calibri"/>
                <w:color w:val="000000" w:themeColor="text1"/>
                <w:sz w:val="16"/>
                <w:szCs w:val="16"/>
              </w:rPr>
              <w:t xml:space="preserve"> </w:t>
            </w:r>
            <w:proofErr w:type="spellStart"/>
            <w:r w:rsidRPr="00562F1B">
              <w:rPr>
                <w:rFonts w:ascii="Calibri" w:eastAsia="Calibri" w:hAnsi="Calibri"/>
                <w:color w:val="000000" w:themeColor="text1"/>
                <w:sz w:val="16"/>
                <w:szCs w:val="16"/>
              </w:rPr>
              <w:t>Ryo</w:t>
            </w:r>
            <w:proofErr w:type="spellEnd"/>
            <w:r w:rsidRPr="00562F1B">
              <w:rPr>
                <w:rFonts w:ascii="Calibri" w:eastAsia="Calibri" w:hAnsi="Calibri"/>
                <w:color w:val="000000" w:themeColor="text1"/>
                <w:sz w:val="16"/>
                <w:szCs w:val="16"/>
              </w:rPr>
              <w:t xml:space="preserve"> </w:t>
            </w:r>
            <w:proofErr w:type="spellStart"/>
            <w:r w:rsidRPr="00562F1B">
              <w:rPr>
                <w:rFonts w:ascii="Calibri" w:eastAsia="Calibri" w:hAnsi="Calibri"/>
                <w:color w:val="000000" w:themeColor="text1"/>
                <w:sz w:val="16"/>
                <w:szCs w:val="16"/>
              </w:rPr>
              <w:t>Shiba</w:t>
            </w:r>
            <w:proofErr w:type="spellEnd"/>
            <w:r w:rsidRPr="00562F1B">
              <w:rPr>
                <w:rFonts w:ascii="Calibri" w:eastAsia="Calibri" w:hAnsi="Calibri"/>
                <w:color w:val="000000" w:themeColor="text1"/>
                <w:sz w:val="16"/>
                <w:szCs w:val="16"/>
              </w:rPr>
              <w:t xml:space="preserve"> </w:t>
            </w:r>
            <w:proofErr w:type="spellStart"/>
            <w:r w:rsidRPr="00562F1B">
              <w:rPr>
                <w:rFonts w:ascii="Calibri" w:eastAsia="Calibri" w:hAnsi="Calibri"/>
                <w:color w:val="000000" w:themeColor="text1"/>
                <w:sz w:val="16"/>
                <w:szCs w:val="16"/>
              </w:rPr>
              <w:t>Matsumoto</w:t>
            </w:r>
            <w:proofErr w:type="spellEnd"/>
            <w:r w:rsidRPr="00562F1B">
              <w:rPr>
                <w:rFonts w:ascii="Calibri" w:eastAsia="Calibri" w:hAnsi="Calibri"/>
                <w:color w:val="000000" w:themeColor="text1"/>
                <w:sz w:val="16"/>
                <w:szCs w:val="16"/>
              </w:rPr>
              <w:t>. Informe técnico analítico sobre  la prevalencia de VIH; así como factores de riesgo y vulnerabilidad,  personas que se dedican al trabajo sexual; y en personas transexuales y personas transgénero. INSP. México, 2012.</w:t>
            </w:r>
          </w:p>
        </w:tc>
      </w:tr>
      <w:tr w:rsidR="00562F1B" w:rsidRPr="00562F1B" w:rsidTr="00276D7C">
        <w:trPr>
          <w:gridAfter w:val="1"/>
          <w:wAfter w:w="113" w:type="dxa"/>
          <w:jc w:val="center"/>
        </w:trPr>
        <w:tc>
          <w:tcPr>
            <w:tcW w:w="5885" w:type="dxa"/>
            <w:gridSpan w:val="2"/>
            <w:tcBorders>
              <w:top w:val="nil"/>
              <w:left w:val="nil"/>
              <w:bottom w:val="nil"/>
              <w:right w:val="nil"/>
            </w:tcBorders>
            <w:shd w:val="clear" w:color="auto" w:fill="auto"/>
            <w:vAlign w:val="center"/>
          </w:tcPr>
          <w:p w:rsidR="00F64222" w:rsidRPr="00562F1B" w:rsidRDefault="00F64222" w:rsidP="00276D7C">
            <w:pPr>
              <w:jc w:val="both"/>
              <w:rPr>
                <w:rFonts w:ascii="Calibri" w:eastAsia="Calibri" w:hAnsi="Calibri"/>
                <w:color w:val="000000" w:themeColor="text1"/>
                <w:sz w:val="16"/>
                <w:szCs w:val="16"/>
              </w:rPr>
            </w:pPr>
            <w:r w:rsidRPr="00562F1B">
              <w:rPr>
                <w:rFonts w:ascii="Calibri" w:eastAsia="Calibri" w:hAnsi="Calibri"/>
                <w:color w:val="000000" w:themeColor="text1"/>
                <w:sz w:val="16"/>
                <w:szCs w:val="16"/>
              </w:rPr>
              <w:t>3. Reporte de progreso en la respuesta global al sida México, 2014.  http://www.censida.salud.gob.mx/descargas/ungass/garp2014.pdf</w:t>
            </w:r>
          </w:p>
        </w:tc>
      </w:tr>
      <w:tr w:rsidR="00562F1B" w:rsidRPr="00562F1B" w:rsidTr="00276D7C">
        <w:trPr>
          <w:gridAfter w:val="1"/>
          <w:wAfter w:w="113" w:type="dxa"/>
          <w:jc w:val="center"/>
        </w:trPr>
        <w:tc>
          <w:tcPr>
            <w:tcW w:w="5885" w:type="dxa"/>
            <w:gridSpan w:val="2"/>
            <w:tcBorders>
              <w:top w:val="nil"/>
              <w:left w:val="nil"/>
              <w:bottom w:val="nil"/>
              <w:right w:val="nil"/>
            </w:tcBorders>
            <w:shd w:val="clear" w:color="auto" w:fill="auto"/>
            <w:vAlign w:val="bottom"/>
          </w:tcPr>
          <w:p w:rsidR="00F64222" w:rsidRPr="00562F1B" w:rsidRDefault="00F64222" w:rsidP="00276D7C">
            <w:pPr>
              <w:jc w:val="both"/>
              <w:rPr>
                <w:rFonts w:ascii="Calibri" w:eastAsia="Calibri" w:hAnsi="Calibri"/>
                <w:color w:val="000000" w:themeColor="text1"/>
                <w:sz w:val="16"/>
                <w:szCs w:val="16"/>
              </w:rPr>
            </w:pPr>
            <w:r w:rsidRPr="00562F1B">
              <w:rPr>
                <w:rFonts w:ascii="Calibri" w:eastAsia="Calibri" w:hAnsi="Calibri"/>
                <w:color w:val="000000" w:themeColor="text1"/>
                <w:sz w:val="16"/>
                <w:szCs w:val="16"/>
              </w:rPr>
              <w:t xml:space="preserve">4 Arantxa Colchero, María Alejandra Cortés, </w:t>
            </w:r>
            <w:proofErr w:type="spellStart"/>
            <w:r w:rsidRPr="00562F1B">
              <w:rPr>
                <w:rFonts w:ascii="Calibri" w:eastAsia="Calibri" w:hAnsi="Calibri"/>
                <w:color w:val="000000" w:themeColor="text1"/>
                <w:sz w:val="16"/>
                <w:szCs w:val="16"/>
              </w:rPr>
              <w:t>et.al</w:t>
            </w:r>
            <w:proofErr w:type="spellEnd"/>
            <w:r w:rsidRPr="00562F1B">
              <w:rPr>
                <w:rFonts w:ascii="Calibri" w:eastAsia="Calibri" w:hAnsi="Calibri"/>
                <w:color w:val="000000" w:themeColor="text1"/>
                <w:sz w:val="16"/>
                <w:szCs w:val="16"/>
              </w:rPr>
              <w:t xml:space="preserve">. Principales resultados de la encuesta de salud con </w:t>
            </w:r>
            <w:proofErr w:type="spellStart"/>
            <w:r w:rsidRPr="00562F1B">
              <w:rPr>
                <w:rFonts w:ascii="Calibri" w:eastAsia="Calibri" w:hAnsi="Calibri"/>
                <w:color w:val="000000" w:themeColor="text1"/>
                <w:sz w:val="16"/>
                <w:szCs w:val="16"/>
              </w:rPr>
              <w:t>sero</w:t>
            </w:r>
            <w:proofErr w:type="spellEnd"/>
            <w:r w:rsidRPr="00562F1B">
              <w:rPr>
                <w:rFonts w:ascii="Calibri" w:eastAsia="Calibri" w:hAnsi="Calibri"/>
                <w:color w:val="000000" w:themeColor="text1"/>
                <w:sz w:val="16"/>
                <w:szCs w:val="16"/>
              </w:rPr>
              <w:t>-prevalencia de VIH a mujeres transgénero en la  Ciudad de México</w:t>
            </w:r>
          </w:p>
        </w:tc>
      </w:tr>
      <w:tr w:rsidR="00562F1B" w:rsidRPr="00562F1B" w:rsidTr="00276D7C">
        <w:trPr>
          <w:gridAfter w:val="1"/>
          <w:wAfter w:w="113" w:type="dxa"/>
          <w:jc w:val="center"/>
        </w:trPr>
        <w:tc>
          <w:tcPr>
            <w:tcW w:w="5885" w:type="dxa"/>
            <w:gridSpan w:val="2"/>
            <w:tcBorders>
              <w:top w:val="nil"/>
              <w:left w:val="nil"/>
              <w:bottom w:val="nil"/>
              <w:right w:val="nil"/>
            </w:tcBorders>
            <w:shd w:val="clear" w:color="auto" w:fill="auto"/>
            <w:vAlign w:val="bottom"/>
          </w:tcPr>
          <w:p w:rsidR="00F64222" w:rsidRPr="00562F1B" w:rsidRDefault="00F64222" w:rsidP="00276D7C">
            <w:pPr>
              <w:jc w:val="both"/>
              <w:rPr>
                <w:rFonts w:ascii="Calibri" w:eastAsia="Calibri" w:hAnsi="Calibri"/>
                <w:color w:val="000000" w:themeColor="text1"/>
                <w:sz w:val="16"/>
                <w:szCs w:val="16"/>
              </w:rPr>
            </w:pPr>
            <w:r w:rsidRPr="00562F1B">
              <w:rPr>
                <w:rFonts w:ascii="Calibri" w:eastAsia="Calibri" w:hAnsi="Calibri"/>
                <w:color w:val="000000" w:themeColor="text1"/>
                <w:sz w:val="16"/>
                <w:szCs w:val="16"/>
              </w:rPr>
              <w:t xml:space="preserve">5 Gutiérrez JP, </w:t>
            </w:r>
            <w:proofErr w:type="spellStart"/>
            <w:r w:rsidRPr="00562F1B">
              <w:rPr>
                <w:rFonts w:ascii="Calibri" w:eastAsia="Calibri" w:hAnsi="Calibri"/>
                <w:color w:val="000000" w:themeColor="text1"/>
                <w:sz w:val="16"/>
                <w:szCs w:val="16"/>
              </w:rPr>
              <w:t>Sucilla</w:t>
            </w:r>
            <w:proofErr w:type="spellEnd"/>
            <w:r w:rsidRPr="00562F1B">
              <w:rPr>
                <w:rFonts w:ascii="Calibri" w:eastAsia="Calibri" w:hAnsi="Calibri"/>
                <w:color w:val="000000" w:themeColor="text1"/>
                <w:sz w:val="16"/>
                <w:szCs w:val="16"/>
              </w:rPr>
              <w:t xml:space="preserve">-Pérez H, Conde-González CJ, </w:t>
            </w:r>
            <w:proofErr w:type="spellStart"/>
            <w:r w:rsidRPr="00562F1B">
              <w:rPr>
                <w:rFonts w:ascii="Calibri" w:eastAsia="Calibri" w:hAnsi="Calibri"/>
                <w:color w:val="000000" w:themeColor="text1"/>
                <w:sz w:val="16"/>
                <w:szCs w:val="16"/>
              </w:rPr>
              <w:t>Izazola</w:t>
            </w:r>
            <w:proofErr w:type="spellEnd"/>
            <w:r w:rsidRPr="00562F1B">
              <w:rPr>
                <w:rFonts w:ascii="Calibri" w:eastAsia="Calibri" w:hAnsi="Calibri"/>
                <w:color w:val="000000" w:themeColor="text1"/>
                <w:sz w:val="16"/>
                <w:szCs w:val="16"/>
              </w:rPr>
              <w:t xml:space="preserve"> JA, Romero-Martínez M, Hernández-Ávila M. </w:t>
            </w:r>
            <w:proofErr w:type="spellStart"/>
            <w:r w:rsidRPr="00562F1B">
              <w:rPr>
                <w:rFonts w:ascii="Calibri" w:eastAsia="Calibri" w:hAnsi="Calibri"/>
                <w:color w:val="000000" w:themeColor="text1"/>
                <w:sz w:val="16"/>
                <w:szCs w:val="16"/>
              </w:rPr>
              <w:t>Seroprevalencia</w:t>
            </w:r>
            <w:proofErr w:type="spellEnd"/>
            <w:r w:rsidRPr="00562F1B">
              <w:rPr>
                <w:rFonts w:ascii="Calibri" w:eastAsia="Calibri" w:hAnsi="Calibri"/>
                <w:color w:val="000000" w:themeColor="text1"/>
                <w:sz w:val="16"/>
                <w:szCs w:val="16"/>
              </w:rPr>
              <w:t xml:space="preserve"> de VIH en población mexicana de entre 15 y 49 años: resultados de la </w:t>
            </w:r>
            <w:proofErr w:type="spellStart"/>
            <w:r w:rsidRPr="00562F1B">
              <w:rPr>
                <w:rFonts w:ascii="Calibri" w:eastAsia="Calibri" w:hAnsi="Calibri"/>
                <w:color w:val="000000" w:themeColor="text1"/>
                <w:sz w:val="16"/>
                <w:szCs w:val="16"/>
              </w:rPr>
              <w:t>Ensanut</w:t>
            </w:r>
            <w:proofErr w:type="spellEnd"/>
            <w:r w:rsidRPr="00562F1B">
              <w:rPr>
                <w:rFonts w:ascii="Calibri" w:eastAsia="Calibri" w:hAnsi="Calibri"/>
                <w:color w:val="000000" w:themeColor="text1"/>
                <w:sz w:val="16"/>
                <w:szCs w:val="16"/>
              </w:rPr>
              <w:t xml:space="preserve"> 2012. Salud Pública </w:t>
            </w:r>
            <w:proofErr w:type="spellStart"/>
            <w:r w:rsidRPr="00562F1B">
              <w:rPr>
                <w:rFonts w:ascii="Calibri" w:eastAsia="Calibri" w:hAnsi="Calibri"/>
                <w:color w:val="000000" w:themeColor="text1"/>
                <w:sz w:val="16"/>
                <w:szCs w:val="16"/>
              </w:rPr>
              <w:t>Mex</w:t>
            </w:r>
            <w:proofErr w:type="spellEnd"/>
            <w:r w:rsidRPr="00562F1B">
              <w:rPr>
                <w:rFonts w:ascii="Calibri" w:eastAsia="Calibri" w:hAnsi="Calibri"/>
                <w:color w:val="000000" w:themeColor="text1"/>
                <w:sz w:val="16"/>
                <w:szCs w:val="16"/>
              </w:rPr>
              <w:t xml:space="preserve"> 2014; 56:323-332.</w:t>
            </w:r>
          </w:p>
        </w:tc>
      </w:tr>
      <w:tr w:rsidR="00F64222" w:rsidRPr="00562F1B" w:rsidTr="00276D7C">
        <w:trPr>
          <w:gridAfter w:val="1"/>
          <w:wAfter w:w="113" w:type="dxa"/>
          <w:jc w:val="center"/>
        </w:trPr>
        <w:tc>
          <w:tcPr>
            <w:tcW w:w="5885" w:type="dxa"/>
            <w:gridSpan w:val="2"/>
            <w:tcBorders>
              <w:top w:val="nil"/>
              <w:left w:val="nil"/>
              <w:bottom w:val="nil"/>
              <w:right w:val="nil"/>
            </w:tcBorders>
            <w:shd w:val="clear" w:color="auto" w:fill="auto"/>
            <w:vAlign w:val="bottom"/>
          </w:tcPr>
          <w:p w:rsidR="00F64222" w:rsidRPr="00562F1B" w:rsidRDefault="00F64222" w:rsidP="00276D7C">
            <w:pPr>
              <w:jc w:val="both"/>
              <w:rPr>
                <w:rFonts w:ascii="Calibri" w:eastAsia="Calibri" w:hAnsi="Calibri"/>
                <w:color w:val="000000" w:themeColor="text1"/>
                <w:sz w:val="16"/>
                <w:szCs w:val="16"/>
              </w:rPr>
            </w:pPr>
            <w:r w:rsidRPr="00562F1B">
              <w:rPr>
                <w:rFonts w:ascii="Calibri" w:eastAsia="Calibri" w:hAnsi="Calibri"/>
                <w:color w:val="000000" w:themeColor="text1"/>
                <w:sz w:val="16"/>
                <w:szCs w:val="16"/>
              </w:rPr>
              <w:t xml:space="preserve">Nota: Se toma la prevalencia en mujeres de 15 a 49 como aproximación a la de embarazadas. </w:t>
            </w:r>
          </w:p>
        </w:tc>
      </w:tr>
    </w:tbl>
    <w:p w:rsidR="00F64222" w:rsidRPr="00562F1B" w:rsidRDefault="00F64222" w:rsidP="00F64222">
      <w:pPr>
        <w:jc w:val="center"/>
        <w:rPr>
          <w:rFonts w:ascii="Arial" w:hAnsi="Arial" w:cs="Arial"/>
          <w:color w:val="000000" w:themeColor="text1"/>
          <w:sz w:val="21"/>
          <w:szCs w:val="21"/>
        </w:rPr>
      </w:pPr>
    </w:p>
    <w:p w:rsidR="00F64222" w:rsidRPr="00562F1B" w:rsidRDefault="00F64222" w:rsidP="00F64222">
      <w:pPr>
        <w:jc w:val="both"/>
        <w:rPr>
          <w:rFonts w:ascii="Arial" w:hAnsi="Arial" w:cs="Arial"/>
          <w:color w:val="000000" w:themeColor="text1"/>
          <w:sz w:val="21"/>
          <w:szCs w:val="21"/>
        </w:rPr>
      </w:pPr>
    </w:p>
    <w:p w:rsidR="00F64222" w:rsidRPr="00562F1B" w:rsidRDefault="00F64222" w:rsidP="00F64222">
      <w:pPr>
        <w:jc w:val="both"/>
        <w:rPr>
          <w:rFonts w:ascii="Arial" w:hAnsi="Arial" w:cs="Arial"/>
          <w:color w:val="000000" w:themeColor="text1"/>
          <w:sz w:val="21"/>
          <w:szCs w:val="21"/>
        </w:rPr>
      </w:pPr>
    </w:p>
    <w:p w:rsidR="00F64222" w:rsidRPr="00562F1B" w:rsidRDefault="00F64222" w:rsidP="00F64222">
      <w:pPr>
        <w:jc w:val="both"/>
        <w:rPr>
          <w:rFonts w:ascii="Arial" w:hAnsi="Arial" w:cs="Arial"/>
          <w:b/>
          <w:color w:val="000000" w:themeColor="text1"/>
          <w:sz w:val="21"/>
          <w:szCs w:val="21"/>
        </w:rPr>
      </w:pPr>
      <w:r w:rsidRPr="00562F1B">
        <w:rPr>
          <w:rFonts w:ascii="Arial" w:hAnsi="Arial" w:cs="Arial"/>
          <w:b/>
          <w:color w:val="000000" w:themeColor="text1"/>
          <w:sz w:val="21"/>
          <w:szCs w:val="21"/>
        </w:rPr>
        <w:lastRenderedPageBreak/>
        <w:t>Estudios de laboratorio</w:t>
      </w:r>
    </w:p>
    <w:p w:rsidR="00F64222" w:rsidRPr="00562F1B" w:rsidRDefault="00F64222" w:rsidP="00F64222">
      <w:pPr>
        <w:jc w:val="both"/>
        <w:rPr>
          <w:rFonts w:ascii="Arial" w:hAnsi="Arial" w:cs="Arial"/>
          <w:b/>
          <w:color w:val="000000" w:themeColor="text1"/>
          <w:sz w:val="21"/>
          <w:szCs w:val="21"/>
        </w:rPr>
      </w:pPr>
    </w:p>
    <w:p w:rsidR="00F64222" w:rsidRPr="00562F1B" w:rsidRDefault="00F64222" w:rsidP="00F64222">
      <w:pPr>
        <w:jc w:val="both"/>
        <w:rPr>
          <w:rFonts w:ascii="Arial" w:hAnsi="Arial" w:cs="Arial"/>
          <w:color w:val="000000" w:themeColor="text1"/>
          <w:sz w:val="21"/>
          <w:szCs w:val="21"/>
        </w:rPr>
      </w:pPr>
      <w:r w:rsidRPr="00562F1B">
        <w:rPr>
          <w:rFonts w:ascii="Arial" w:hAnsi="Arial" w:cs="Arial"/>
          <w:color w:val="000000" w:themeColor="text1"/>
          <w:sz w:val="21"/>
          <w:szCs w:val="21"/>
        </w:rPr>
        <w:t>Anote el total de muestras para cada tipo de estudio de laboratorio realizado durante el mes:</w:t>
      </w:r>
    </w:p>
    <w:p w:rsidR="00F64222" w:rsidRPr="00562F1B" w:rsidRDefault="00F64222" w:rsidP="00F64222">
      <w:pPr>
        <w:jc w:val="both"/>
        <w:rPr>
          <w:rFonts w:ascii="Arial" w:hAnsi="Arial" w:cs="Arial"/>
          <w:color w:val="000000" w:themeColor="text1"/>
          <w:sz w:val="21"/>
          <w:szCs w:val="21"/>
        </w:rPr>
      </w:pPr>
    </w:p>
    <w:p w:rsidR="00F64222" w:rsidRPr="00562F1B" w:rsidRDefault="00F64222" w:rsidP="00F64222">
      <w:pPr>
        <w:numPr>
          <w:ilvl w:val="0"/>
          <w:numId w:val="4"/>
        </w:numPr>
        <w:jc w:val="both"/>
        <w:rPr>
          <w:rFonts w:ascii="Arial" w:hAnsi="Arial" w:cs="Arial"/>
          <w:color w:val="000000" w:themeColor="text1"/>
          <w:sz w:val="21"/>
          <w:szCs w:val="21"/>
        </w:rPr>
      </w:pPr>
      <w:r w:rsidRPr="00562F1B">
        <w:rPr>
          <w:rFonts w:ascii="Arial" w:hAnsi="Arial" w:cs="Arial"/>
          <w:color w:val="000000" w:themeColor="text1"/>
          <w:sz w:val="21"/>
          <w:szCs w:val="21"/>
        </w:rPr>
        <w:t>Prueba tamizaje de VIH positivas o negativas.</w:t>
      </w:r>
    </w:p>
    <w:p w:rsidR="00F64222" w:rsidRPr="00562F1B" w:rsidRDefault="00F64222" w:rsidP="00F64222">
      <w:pPr>
        <w:numPr>
          <w:ilvl w:val="0"/>
          <w:numId w:val="4"/>
        </w:numPr>
        <w:jc w:val="both"/>
        <w:rPr>
          <w:rFonts w:ascii="Arial" w:hAnsi="Arial" w:cs="Arial"/>
          <w:color w:val="000000" w:themeColor="text1"/>
          <w:sz w:val="21"/>
          <w:szCs w:val="21"/>
        </w:rPr>
      </w:pPr>
      <w:r w:rsidRPr="00562F1B">
        <w:rPr>
          <w:rFonts w:ascii="Arial" w:hAnsi="Arial" w:cs="Arial"/>
          <w:color w:val="000000" w:themeColor="text1"/>
          <w:sz w:val="21"/>
          <w:szCs w:val="21"/>
        </w:rPr>
        <w:t>Prueba confirmatoria de VIH positivas o negativas.</w:t>
      </w:r>
    </w:p>
    <w:p w:rsidR="00F64222" w:rsidRPr="00562F1B" w:rsidRDefault="00F64222" w:rsidP="00F64222">
      <w:pPr>
        <w:numPr>
          <w:ilvl w:val="0"/>
          <w:numId w:val="4"/>
        </w:numPr>
        <w:jc w:val="both"/>
        <w:rPr>
          <w:rFonts w:ascii="Arial" w:hAnsi="Arial" w:cs="Arial"/>
          <w:color w:val="000000" w:themeColor="text1"/>
          <w:sz w:val="21"/>
          <w:szCs w:val="21"/>
        </w:rPr>
      </w:pPr>
      <w:r w:rsidRPr="00562F1B">
        <w:rPr>
          <w:rFonts w:ascii="Arial" w:hAnsi="Arial" w:cs="Arial"/>
          <w:color w:val="000000" w:themeColor="text1"/>
          <w:sz w:val="21"/>
          <w:szCs w:val="21"/>
        </w:rPr>
        <w:t>Prueba confirmatoria de VIH mujer embarazada positivas o negativas.</w:t>
      </w:r>
    </w:p>
    <w:p w:rsidR="00F64222" w:rsidRPr="00562F1B" w:rsidRDefault="00F64222" w:rsidP="00F64222">
      <w:pPr>
        <w:numPr>
          <w:ilvl w:val="0"/>
          <w:numId w:val="4"/>
        </w:numPr>
        <w:jc w:val="both"/>
        <w:rPr>
          <w:rFonts w:ascii="Arial" w:hAnsi="Arial" w:cs="Arial"/>
          <w:color w:val="000000" w:themeColor="text1"/>
          <w:sz w:val="21"/>
          <w:szCs w:val="21"/>
        </w:rPr>
      </w:pPr>
      <w:r w:rsidRPr="00562F1B">
        <w:rPr>
          <w:rFonts w:ascii="Arial" w:hAnsi="Arial" w:cs="Arial"/>
          <w:color w:val="000000" w:themeColor="text1"/>
          <w:sz w:val="21"/>
          <w:szCs w:val="21"/>
        </w:rPr>
        <w:t xml:space="preserve">Prueba tamizaje de sífilis </w:t>
      </w:r>
      <w:r w:rsidR="00CC6294" w:rsidRPr="00562F1B">
        <w:rPr>
          <w:rFonts w:ascii="Arial" w:hAnsi="Arial" w:cs="Arial"/>
          <w:color w:val="000000" w:themeColor="text1"/>
          <w:sz w:val="21"/>
          <w:szCs w:val="21"/>
        </w:rPr>
        <w:t>positiva o negativa</w:t>
      </w:r>
      <w:r w:rsidRPr="00562F1B">
        <w:rPr>
          <w:rFonts w:ascii="Arial" w:hAnsi="Arial" w:cs="Arial"/>
          <w:color w:val="000000" w:themeColor="text1"/>
          <w:sz w:val="21"/>
          <w:szCs w:val="21"/>
        </w:rPr>
        <w:t>.</w:t>
      </w:r>
    </w:p>
    <w:p w:rsidR="00F64222" w:rsidRPr="00562F1B" w:rsidRDefault="00F64222" w:rsidP="00F64222">
      <w:pPr>
        <w:numPr>
          <w:ilvl w:val="0"/>
          <w:numId w:val="4"/>
        </w:numPr>
        <w:jc w:val="both"/>
        <w:rPr>
          <w:rFonts w:ascii="Arial" w:hAnsi="Arial" w:cs="Arial"/>
          <w:color w:val="000000" w:themeColor="text1"/>
          <w:sz w:val="21"/>
          <w:szCs w:val="21"/>
        </w:rPr>
      </w:pPr>
      <w:r w:rsidRPr="00562F1B">
        <w:rPr>
          <w:rFonts w:ascii="Arial" w:hAnsi="Arial" w:cs="Arial"/>
          <w:color w:val="000000" w:themeColor="text1"/>
          <w:sz w:val="21"/>
          <w:szCs w:val="21"/>
        </w:rPr>
        <w:t xml:space="preserve">Prueba confirmatoria de sífilis </w:t>
      </w:r>
      <w:r w:rsidR="00CC6294" w:rsidRPr="00562F1B">
        <w:rPr>
          <w:rFonts w:ascii="Arial" w:hAnsi="Arial" w:cs="Arial"/>
          <w:color w:val="000000" w:themeColor="text1"/>
          <w:sz w:val="21"/>
          <w:szCs w:val="21"/>
        </w:rPr>
        <w:t>positiva o negativa</w:t>
      </w:r>
      <w:r w:rsidRPr="00562F1B">
        <w:rPr>
          <w:rFonts w:ascii="Arial" w:hAnsi="Arial" w:cs="Arial"/>
          <w:color w:val="000000" w:themeColor="text1"/>
          <w:sz w:val="21"/>
          <w:szCs w:val="21"/>
        </w:rPr>
        <w:t>.</w:t>
      </w:r>
    </w:p>
    <w:p w:rsidR="00F64222" w:rsidRPr="00562F1B" w:rsidRDefault="00F64222" w:rsidP="00F64222">
      <w:pPr>
        <w:numPr>
          <w:ilvl w:val="0"/>
          <w:numId w:val="4"/>
        </w:numPr>
        <w:jc w:val="both"/>
        <w:rPr>
          <w:rFonts w:ascii="Arial" w:hAnsi="Arial" w:cs="Arial"/>
          <w:color w:val="000000" w:themeColor="text1"/>
          <w:sz w:val="21"/>
          <w:szCs w:val="21"/>
        </w:rPr>
      </w:pPr>
      <w:r w:rsidRPr="00562F1B">
        <w:rPr>
          <w:rFonts w:ascii="Arial" w:hAnsi="Arial" w:cs="Arial"/>
          <w:color w:val="000000" w:themeColor="text1"/>
          <w:sz w:val="21"/>
          <w:szCs w:val="21"/>
        </w:rPr>
        <w:t xml:space="preserve">Prueba tamizaje de </w:t>
      </w:r>
      <w:r w:rsidR="00CC6294" w:rsidRPr="00562F1B">
        <w:rPr>
          <w:rFonts w:ascii="Arial" w:hAnsi="Arial" w:cs="Arial"/>
          <w:color w:val="000000" w:themeColor="text1"/>
          <w:sz w:val="21"/>
          <w:szCs w:val="21"/>
        </w:rPr>
        <w:t>gonorrea positiva o negativa</w:t>
      </w:r>
      <w:r w:rsidRPr="00562F1B">
        <w:rPr>
          <w:rFonts w:ascii="Arial" w:hAnsi="Arial" w:cs="Arial"/>
          <w:color w:val="000000" w:themeColor="text1"/>
          <w:sz w:val="21"/>
          <w:szCs w:val="21"/>
        </w:rPr>
        <w:t>.</w:t>
      </w:r>
    </w:p>
    <w:p w:rsidR="00F64222" w:rsidRPr="00562F1B" w:rsidRDefault="00F64222" w:rsidP="00F64222">
      <w:pPr>
        <w:numPr>
          <w:ilvl w:val="0"/>
          <w:numId w:val="4"/>
        </w:numPr>
        <w:jc w:val="both"/>
        <w:rPr>
          <w:rFonts w:ascii="Arial" w:hAnsi="Arial" w:cs="Arial"/>
          <w:color w:val="000000" w:themeColor="text1"/>
          <w:sz w:val="21"/>
          <w:szCs w:val="21"/>
        </w:rPr>
      </w:pPr>
      <w:r w:rsidRPr="00562F1B">
        <w:rPr>
          <w:rFonts w:ascii="Arial" w:hAnsi="Arial" w:cs="Arial"/>
          <w:color w:val="000000" w:themeColor="text1"/>
          <w:sz w:val="21"/>
          <w:szCs w:val="21"/>
        </w:rPr>
        <w:t xml:space="preserve">Prueba confirmatoria de </w:t>
      </w:r>
      <w:r w:rsidR="00CC6294" w:rsidRPr="00562F1B">
        <w:rPr>
          <w:rFonts w:ascii="Arial" w:hAnsi="Arial" w:cs="Arial"/>
          <w:color w:val="000000" w:themeColor="text1"/>
          <w:sz w:val="21"/>
          <w:szCs w:val="21"/>
        </w:rPr>
        <w:t>gonorrea positiva o negativa</w:t>
      </w:r>
      <w:r w:rsidRPr="00562F1B">
        <w:rPr>
          <w:rFonts w:ascii="Arial" w:hAnsi="Arial" w:cs="Arial"/>
          <w:color w:val="000000" w:themeColor="text1"/>
          <w:sz w:val="21"/>
          <w:szCs w:val="21"/>
        </w:rPr>
        <w:t>.</w:t>
      </w:r>
    </w:p>
    <w:p w:rsidR="00F64222" w:rsidRPr="00562F1B" w:rsidRDefault="00F64222" w:rsidP="00F64222">
      <w:pPr>
        <w:numPr>
          <w:ilvl w:val="0"/>
          <w:numId w:val="4"/>
        </w:numPr>
        <w:jc w:val="both"/>
        <w:rPr>
          <w:rFonts w:ascii="Arial" w:hAnsi="Arial" w:cs="Arial"/>
          <w:color w:val="000000" w:themeColor="text1"/>
          <w:sz w:val="21"/>
          <w:szCs w:val="21"/>
        </w:rPr>
      </w:pPr>
      <w:r w:rsidRPr="00562F1B">
        <w:rPr>
          <w:rFonts w:ascii="Arial" w:hAnsi="Arial" w:cs="Arial"/>
          <w:color w:val="000000" w:themeColor="text1"/>
          <w:sz w:val="21"/>
          <w:szCs w:val="21"/>
        </w:rPr>
        <w:t>Prueba tamizaje de hepatitis B positivas o negativas.</w:t>
      </w:r>
    </w:p>
    <w:p w:rsidR="00F64222" w:rsidRPr="00562F1B" w:rsidRDefault="00F64222" w:rsidP="00F64222">
      <w:pPr>
        <w:jc w:val="both"/>
        <w:rPr>
          <w:rFonts w:ascii="Arial" w:hAnsi="Arial" w:cs="Arial"/>
          <w:b/>
          <w:color w:val="000000" w:themeColor="text1"/>
          <w:sz w:val="21"/>
          <w:szCs w:val="21"/>
        </w:rPr>
      </w:pPr>
    </w:p>
    <w:p w:rsidR="00F64222" w:rsidRPr="00562F1B" w:rsidRDefault="00F64222" w:rsidP="00F64222">
      <w:pPr>
        <w:ind w:left="-14"/>
        <w:jc w:val="both"/>
        <w:rPr>
          <w:rFonts w:ascii="Arial" w:hAnsi="Arial" w:cs="Arial"/>
          <w:color w:val="000000" w:themeColor="text1"/>
          <w:sz w:val="21"/>
          <w:szCs w:val="21"/>
        </w:rPr>
      </w:pPr>
      <w:r w:rsidRPr="00562F1B">
        <w:rPr>
          <w:rFonts w:ascii="Arial" w:hAnsi="Arial" w:cs="Arial"/>
          <w:b/>
          <w:color w:val="000000" w:themeColor="text1"/>
          <w:sz w:val="21"/>
          <w:szCs w:val="21"/>
        </w:rPr>
        <w:t xml:space="preserve">Biológicos. </w:t>
      </w:r>
      <w:r w:rsidRPr="00562F1B">
        <w:rPr>
          <w:rFonts w:ascii="Arial" w:hAnsi="Arial" w:cs="Arial"/>
          <w:color w:val="000000" w:themeColor="text1"/>
          <w:sz w:val="21"/>
          <w:szCs w:val="21"/>
        </w:rPr>
        <w:t>Anote el número de esquemas completos aplicados a personas con VIH, durante el mes de:</w:t>
      </w:r>
    </w:p>
    <w:p w:rsidR="00F64222" w:rsidRPr="00562F1B" w:rsidRDefault="00F64222" w:rsidP="00F64222">
      <w:pPr>
        <w:ind w:left="454" w:firstLine="722"/>
        <w:jc w:val="both"/>
        <w:rPr>
          <w:rFonts w:ascii="Arial" w:hAnsi="Arial" w:cs="Arial"/>
          <w:color w:val="000000" w:themeColor="text1"/>
          <w:sz w:val="21"/>
          <w:szCs w:val="21"/>
        </w:rPr>
      </w:pPr>
      <w:r w:rsidRPr="00562F1B">
        <w:rPr>
          <w:rFonts w:ascii="Arial" w:hAnsi="Arial" w:cs="Arial"/>
          <w:color w:val="000000" w:themeColor="text1"/>
          <w:sz w:val="21"/>
          <w:szCs w:val="21"/>
        </w:rPr>
        <w:t>Antihepatitis B.</w:t>
      </w:r>
    </w:p>
    <w:p w:rsidR="00F64222" w:rsidRPr="00562F1B" w:rsidRDefault="00F64222" w:rsidP="00F64222">
      <w:pPr>
        <w:ind w:left="-14" w:firstLine="1190"/>
        <w:jc w:val="both"/>
        <w:rPr>
          <w:rFonts w:ascii="Arial" w:hAnsi="Arial" w:cs="Arial"/>
          <w:color w:val="000000" w:themeColor="text1"/>
          <w:sz w:val="21"/>
          <w:szCs w:val="21"/>
        </w:rPr>
      </w:pPr>
      <w:r w:rsidRPr="00562F1B">
        <w:rPr>
          <w:rFonts w:ascii="Arial" w:hAnsi="Arial" w:cs="Arial"/>
          <w:color w:val="000000" w:themeColor="text1"/>
          <w:sz w:val="21"/>
          <w:szCs w:val="21"/>
        </w:rPr>
        <w:t>Pentavalente.</w:t>
      </w:r>
    </w:p>
    <w:p w:rsidR="00F64222" w:rsidRPr="00562F1B" w:rsidRDefault="00F64222" w:rsidP="00F64222">
      <w:pPr>
        <w:ind w:left="-14" w:firstLine="1190"/>
        <w:jc w:val="both"/>
        <w:rPr>
          <w:rFonts w:ascii="Arial" w:hAnsi="Arial" w:cs="Arial"/>
          <w:color w:val="000000" w:themeColor="text1"/>
          <w:sz w:val="21"/>
          <w:szCs w:val="21"/>
        </w:rPr>
      </w:pPr>
      <w:r w:rsidRPr="00562F1B">
        <w:rPr>
          <w:rFonts w:ascii="Arial" w:hAnsi="Arial" w:cs="Arial"/>
          <w:color w:val="000000" w:themeColor="text1"/>
          <w:sz w:val="21"/>
          <w:szCs w:val="21"/>
        </w:rPr>
        <w:t>Neumococo.</w:t>
      </w:r>
    </w:p>
    <w:p w:rsidR="00F64222" w:rsidRPr="00562F1B" w:rsidRDefault="00F64222" w:rsidP="00F64222">
      <w:pPr>
        <w:jc w:val="both"/>
        <w:rPr>
          <w:rFonts w:ascii="Arial" w:hAnsi="Arial" w:cs="Arial"/>
          <w:b/>
          <w:color w:val="000000" w:themeColor="text1"/>
          <w:sz w:val="21"/>
          <w:szCs w:val="21"/>
        </w:rPr>
      </w:pPr>
    </w:p>
    <w:p w:rsidR="00F64222" w:rsidRPr="00562F1B" w:rsidRDefault="00F64222" w:rsidP="00F64222">
      <w:pPr>
        <w:ind w:left="28"/>
        <w:jc w:val="both"/>
        <w:rPr>
          <w:rFonts w:ascii="Arial" w:hAnsi="Arial" w:cs="Arial"/>
          <w:color w:val="000000" w:themeColor="text1"/>
          <w:sz w:val="21"/>
          <w:szCs w:val="21"/>
        </w:rPr>
      </w:pPr>
      <w:r w:rsidRPr="00562F1B">
        <w:rPr>
          <w:rFonts w:ascii="Arial" w:hAnsi="Arial" w:cs="Arial"/>
          <w:b/>
          <w:color w:val="000000" w:themeColor="text1"/>
          <w:sz w:val="21"/>
          <w:szCs w:val="21"/>
        </w:rPr>
        <w:t xml:space="preserve">Detecciones: </w:t>
      </w:r>
      <w:r w:rsidRPr="00562F1B">
        <w:rPr>
          <w:rFonts w:ascii="Arial" w:hAnsi="Arial" w:cs="Arial"/>
          <w:color w:val="000000" w:themeColor="text1"/>
          <w:sz w:val="21"/>
          <w:szCs w:val="21"/>
          <w:lang w:val="es-MX"/>
        </w:rPr>
        <w:t xml:space="preserve">Por detecciones </w:t>
      </w:r>
      <w:r w:rsidRPr="00562F1B">
        <w:rPr>
          <w:rFonts w:ascii="Arial" w:hAnsi="Arial" w:cs="Arial"/>
          <w:color w:val="000000" w:themeColor="text1"/>
          <w:sz w:val="21"/>
          <w:szCs w:val="21"/>
        </w:rPr>
        <w:t xml:space="preserve">se entiende la búsqueda intencionada de casos, de acuerdo al grupo poblacional requerido. Anote los resultados de las pruebas de laboratorio o pruebas rápidas (positivas o negativas), según sea el caso: </w:t>
      </w:r>
    </w:p>
    <w:p w:rsidR="00F64222" w:rsidRPr="00562F1B" w:rsidRDefault="00F64222" w:rsidP="00F64222">
      <w:pPr>
        <w:jc w:val="both"/>
        <w:rPr>
          <w:rFonts w:ascii="Arial" w:hAnsi="Arial" w:cs="Arial"/>
          <w:color w:val="000000" w:themeColor="text1"/>
          <w:sz w:val="21"/>
          <w:szCs w:val="21"/>
        </w:rPr>
      </w:pPr>
    </w:p>
    <w:p w:rsidR="00F64222" w:rsidRPr="00562F1B" w:rsidRDefault="00F64222" w:rsidP="00A91E5E">
      <w:pPr>
        <w:jc w:val="both"/>
        <w:rPr>
          <w:rFonts w:ascii="Arial" w:hAnsi="Arial" w:cs="Arial"/>
          <w:color w:val="000000" w:themeColor="text1"/>
          <w:sz w:val="21"/>
          <w:szCs w:val="21"/>
        </w:rPr>
      </w:pPr>
      <w:r w:rsidRPr="00562F1B">
        <w:rPr>
          <w:rFonts w:ascii="Arial" w:hAnsi="Arial" w:cs="Arial"/>
          <w:color w:val="000000" w:themeColor="text1"/>
          <w:sz w:val="21"/>
          <w:szCs w:val="21"/>
        </w:rPr>
        <w:t xml:space="preserve">Detecciones </w:t>
      </w:r>
      <w:r w:rsidR="00A91E5E" w:rsidRPr="00562F1B">
        <w:rPr>
          <w:rFonts w:ascii="Arial" w:hAnsi="Arial" w:cs="Arial"/>
          <w:color w:val="000000" w:themeColor="text1"/>
          <w:sz w:val="21"/>
          <w:szCs w:val="21"/>
        </w:rPr>
        <w:t>por grupo de población para</w:t>
      </w:r>
      <w:r w:rsidRPr="00562F1B">
        <w:rPr>
          <w:rFonts w:ascii="Arial" w:hAnsi="Arial" w:cs="Arial"/>
          <w:color w:val="000000" w:themeColor="text1"/>
          <w:sz w:val="21"/>
          <w:szCs w:val="21"/>
        </w:rPr>
        <w:t xml:space="preserve"> VIH</w:t>
      </w:r>
      <w:r w:rsidR="00A91E5E" w:rsidRPr="00562F1B">
        <w:rPr>
          <w:rFonts w:ascii="Arial" w:hAnsi="Arial" w:cs="Arial"/>
          <w:color w:val="000000" w:themeColor="text1"/>
          <w:sz w:val="21"/>
          <w:szCs w:val="21"/>
        </w:rPr>
        <w:t>, Sífilis, Gonorrea, Hepatitis B, VPH, Herpes Genital, Chancro blando y Chlamydia</w:t>
      </w:r>
      <w:r w:rsidRPr="00562F1B">
        <w:rPr>
          <w:rFonts w:ascii="Arial" w:hAnsi="Arial" w:cs="Arial"/>
          <w:color w:val="000000" w:themeColor="text1"/>
          <w:sz w:val="21"/>
          <w:szCs w:val="21"/>
        </w:rPr>
        <w:t xml:space="preserve">: </w:t>
      </w:r>
    </w:p>
    <w:p w:rsidR="00F64222" w:rsidRPr="00562F1B" w:rsidRDefault="00F64222" w:rsidP="00F64222">
      <w:pPr>
        <w:numPr>
          <w:ilvl w:val="0"/>
          <w:numId w:val="6"/>
        </w:numPr>
        <w:jc w:val="both"/>
        <w:rPr>
          <w:rFonts w:ascii="Arial" w:hAnsi="Arial" w:cs="Arial"/>
          <w:color w:val="000000" w:themeColor="text1"/>
          <w:sz w:val="21"/>
          <w:szCs w:val="21"/>
        </w:rPr>
      </w:pPr>
      <w:r w:rsidRPr="00562F1B">
        <w:rPr>
          <w:rFonts w:ascii="Arial" w:hAnsi="Arial" w:cs="Arial"/>
          <w:color w:val="000000" w:themeColor="text1"/>
          <w:sz w:val="21"/>
          <w:szCs w:val="21"/>
        </w:rPr>
        <w:t xml:space="preserve">Mujeres embarazadas: </w:t>
      </w:r>
      <w:r w:rsidR="00A91E5E" w:rsidRPr="00562F1B">
        <w:rPr>
          <w:rFonts w:ascii="Arial" w:hAnsi="Arial" w:cs="Arial"/>
          <w:color w:val="000000" w:themeColor="text1"/>
          <w:sz w:val="21"/>
          <w:szCs w:val="21"/>
        </w:rPr>
        <w:t>A excepción de detección por VIH</w:t>
      </w:r>
      <w:r w:rsidRPr="00562F1B">
        <w:rPr>
          <w:rFonts w:ascii="Arial" w:hAnsi="Arial" w:cs="Arial"/>
          <w:color w:val="000000" w:themeColor="text1"/>
          <w:sz w:val="21"/>
          <w:szCs w:val="21"/>
        </w:rPr>
        <w:t>.</w:t>
      </w:r>
    </w:p>
    <w:p w:rsidR="00F64222" w:rsidRPr="00562F1B" w:rsidRDefault="00F64222" w:rsidP="00F64222">
      <w:pPr>
        <w:numPr>
          <w:ilvl w:val="0"/>
          <w:numId w:val="6"/>
        </w:numPr>
        <w:jc w:val="both"/>
        <w:rPr>
          <w:rFonts w:ascii="Arial" w:hAnsi="Arial" w:cs="Arial"/>
          <w:color w:val="000000" w:themeColor="text1"/>
          <w:sz w:val="21"/>
          <w:szCs w:val="21"/>
        </w:rPr>
      </w:pPr>
      <w:r w:rsidRPr="00562F1B">
        <w:rPr>
          <w:rFonts w:ascii="Arial" w:hAnsi="Arial" w:cs="Arial"/>
          <w:color w:val="000000" w:themeColor="text1"/>
          <w:sz w:val="21"/>
          <w:szCs w:val="21"/>
        </w:rPr>
        <w:t>Hombres que tienen sexo con otros hombres.</w:t>
      </w:r>
    </w:p>
    <w:p w:rsidR="00F64222" w:rsidRPr="00562F1B" w:rsidRDefault="00F64222" w:rsidP="00F64222">
      <w:pPr>
        <w:numPr>
          <w:ilvl w:val="0"/>
          <w:numId w:val="6"/>
        </w:numPr>
        <w:jc w:val="both"/>
        <w:rPr>
          <w:rFonts w:ascii="Arial" w:hAnsi="Arial" w:cs="Arial"/>
          <w:color w:val="000000" w:themeColor="text1"/>
          <w:sz w:val="21"/>
          <w:szCs w:val="21"/>
        </w:rPr>
      </w:pPr>
      <w:r w:rsidRPr="00562F1B">
        <w:rPr>
          <w:rFonts w:ascii="Arial" w:hAnsi="Arial" w:cs="Arial"/>
          <w:color w:val="000000" w:themeColor="text1"/>
          <w:sz w:val="21"/>
          <w:szCs w:val="21"/>
        </w:rPr>
        <w:t>Mujeres trabajadoras sexuales.</w:t>
      </w:r>
    </w:p>
    <w:p w:rsidR="00F64222" w:rsidRPr="00562F1B" w:rsidRDefault="00F64222" w:rsidP="00F64222">
      <w:pPr>
        <w:numPr>
          <w:ilvl w:val="0"/>
          <w:numId w:val="6"/>
        </w:numPr>
        <w:jc w:val="both"/>
        <w:rPr>
          <w:rFonts w:ascii="Arial" w:hAnsi="Arial" w:cs="Arial"/>
          <w:color w:val="000000" w:themeColor="text1"/>
          <w:sz w:val="21"/>
          <w:szCs w:val="21"/>
        </w:rPr>
      </w:pPr>
      <w:r w:rsidRPr="00562F1B">
        <w:rPr>
          <w:rFonts w:ascii="Arial" w:hAnsi="Arial" w:cs="Arial"/>
          <w:color w:val="000000" w:themeColor="text1"/>
          <w:sz w:val="21"/>
          <w:szCs w:val="21"/>
        </w:rPr>
        <w:t>Hombres trabajadores sexuales.</w:t>
      </w:r>
    </w:p>
    <w:p w:rsidR="00F64222" w:rsidRPr="00562F1B" w:rsidRDefault="00F64222" w:rsidP="00F64222">
      <w:pPr>
        <w:numPr>
          <w:ilvl w:val="0"/>
          <w:numId w:val="6"/>
        </w:numPr>
        <w:jc w:val="both"/>
        <w:rPr>
          <w:rFonts w:ascii="Arial" w:hAnsi="Arial" w:cs="Arial"/>
          <w:color w:val="000000" w:themeColor="text1"/>
          <w:sz w:val="21"/>
          <w:szCs w:val="21"/>
        </w:rPr>
      </w:pPr>
      <w:r w:rsidRPr="00562F1B">
        <w:rPr>
          <w:rFonts w:ascii="Arial" w:hAnsi="Arial" w:cs="Arial"/>
          <w:color w:val="000000" w:themeColor="text1"/>
          <w:sz w:val="21"/>
          <w:szCs w:val="21"/>
          <w:lang w:val="es-MX"/>
        </w:rPr>
        <w:t>Población TTTI: transgénero, transexuales, travestis e intersexual</w:t>
      </w:r>
      <w:r w:rsidRPr="00562F1B">
        <w:rPr>
          <w:rFonts w:ascii="Arial" w:hAnsi="Arial" w:cs="Arial"/>
          <w:color w:val="000000" w:themeColor="text1"/>
          <w:sz w:val="21"/>
          <w:szCs w:val="21"/>
        </w:rPr>
        <w:t>.</w:t>
      </w:r>
    </w:p>
    <w:p w:rsidR="00F64222" w:rsidRPr="00562F1B" w:rsidRDefault="00F64222" w:rsidP="00F64222">
      <w:pPr>
        <w:numPr>
          <w:ilvl w:val="0"/>
          <w:numId w:val="6"/>
        </w:numPr>
        <w:jc w:val="both"/>
        <w:rPr>
          <w:rFonts w:ascii="Arial" w:hAnsi="Arial" w:cs="Arial"/>
          <w:color w:val="000000" w:themeColor="text1"/>
          <w:sz w:val="21"/>
          <w:szCs w:val="21"/>
        </w:rPr>
      </w:pPr>
      <w:r w:rsidRPr="00562F1B">
        <w:rPr>
          <w:rFonts w:ascii="Arial" w:hAnsi="Arial" w:cs="Arial"/>
          <w:color w:val="000000" w:themeColor="text1"/>
          <w:sz w:val="21"/>
          <w:szCs w:val="21"/>
        </w:rPr>
        <w:t>Mujeres heterosexuales.</w:t>
      </w:r>
    </w:p>
    <w:p w:rsidR="00F64222" w:rsidRPr="00562F1B" w:rsidRDefault="00F64222" w:rsidP="00F64222">
      <w:pPr>
        <w:numPr>
          <w:ilvl w:val="0"/>
          <w:numId w:val="6"/>
        </w:numPr>
        <w:jc w:val="both"/>
        <w:rPr>
          <w:rFonts w:ascii="Arial" w:hAnsi="Arial" w:cs="Arial"/>
          <w:color w:val="000000" w:themeColor="text1"/>
          <w:sz w:val="21"/>
          <w:szCs w:val="21"/>
        </w:rPr>
      </w:pPr>
      <w:r w:rsidRPr="00562F1B">
        <w:rPr>
          <w:rFonts w:ascii="Arial" w:hAnsi="Arial" w:cs="Arial"/>
          <w:color w:val="000000" w:themeColor="text1"/>
          <w:sz w:val="21"/>
          <w:szCs w:val="21"/>
        </w:rPr>
        <w:t>Hombres heterosexuales.</w:t>
      </w:r>
    </w:p>
    <w:p w:rsidR="00F64222" w:rsidRPr="00562F1B" w:rsidRDefault="00F64222" w:rsidP="00F64222">
      <w:pPr>
        <w:numPr>
          <w:ilvl w:val="0"/>
          <w:numId w:val="6"/>
        </w:numPr>
        <w:jc w:val="both"/>
        <w:rPr>
          <w:rFonts w:ascii="Arial" w:hAnsi="Arial" w:cs="Arial"/>
          <w:color w:val="000000" w:themeColor="text1"/>
          <w:sz w:val="21"/>
          <w:szCs w:val="21"/>
        </w:rPr>
      </w:pPr>
      <w:r w:rsidRPr="00562F1B">
        <w:rPr>
          <w:rFonts w:ascii="Arial" w:hAnsi="Arial" w:cs="Arial"/>
          <w:color w:val="000000" w:themeColor="text1"/>
          <w:sz w:val="21"/>
          <w:szCs w:val="21"/>
        </w:rPr>
        <w:t>Mujeres usuarias de drogas inyectables.</w:t>
      </w:r>
    </w:p>
    <w:p w:rsidR="00F64222" w:rsidRPr="00562F1B" w:rsidRDefault="00F64222" w:rsidP="00F64222">
      <w:pPr>
        <w:numPr>
          <w:ilvl w:val="0"/>
          <w:numId w:val="6"/>
        </w:numPr>
        <w:jc w:val="both"/>
        <w:rPr>
          <w:rFonts w:ascii="Arial" w:hAnsi="Arial" w:cs="Arial"/>
          <w:color w:val="000000" w:themeColor="text1"/>
          <w:sz w:val="21"/>
          <w:szCs w:val="21"/>
        </w:rPr>
      </w:pPr>
      <w:r w:rsidRPr="00562F1B">
        <w:rPr>
          <w:rFonts w:ascii="Arial" w:hAnsi="Arial" w:cs="Arial"/>
          <w:color w:val="000000" w:themeColor="text1"/>
          <w:sz w:val="21"/>
          <w:szCs w:val="21"/>
        </w:rPr>
        <w:t>Hombres usuarios de drogas inyectables.</w:t>
      </w:r>
    </w:p>
    <w:p w:rsidR="00F64222" w:rsidRPr="00562F1B" w:rsidRDefault="00F64222" w:rsidP="00F64222">
      <w:pPr>
        <w:jc w:val="both"/>
        <w:rPr>
          <w:rFonts w:ascii="Arial" w:hAnsi="Arial" w:cs="Arial"/>
          <w:color w:val="000000" w:themeColor="text1"/>
          <w:sz w:val="21"/>
          <w:szCs w:val="21"/>
        </w:rPr>
      </w:pPr>
    </w:p>
    <w:p w:rsidR="00A91E5E" w:rsidRPr="00562F1B" w:rsidRDefault="00A91E5E" w:rsidP="00F64222">
      <w:pPr>
        <w:jc w:val="both"/>
        <w:rPr>
          <w:rFonts w:ascii="Arial" w:hAnsi="Arial" w:cs="Arial"/>
          <w:b/>
          <w:color w:val="000000" w:themeColor="text1"/>
          <w:sz w:val="21"/>
          <w:szCs w:val="21"/>
        </w:rPr>
      </w:pPr>
      <w:r w:rsidRPr="00562F1B">
        <w:rPr>
          <w:rFonts w:ascii="Arial" w:hAnsi="Arial" w:cs="Arial"/>
          <w:b/>
          <w:color w:val="000000" w:themeColor="text1"/>
          <w:sz w:val="21"/>
          <w:szCs w:val="21"/>
        </w:rPr>
        <w:t>Detecciones VIH en embarazadas primera vez y subsecuentes</w:t>
      </w:r>
    </w:p>
    <w:p w:rsidR="00A91E5E" w:rsidRPr="00562F1B" w:rsidRDefault="00DD421F" w:rsidP="00F64222">
      <w:pPr>
        <w:jc w:val="both"/>
        <w:rPr>
          <w:rFonts w:ascii="Arial" w:hAnsi="Arial" w:cs="Arial"/>
          <w:color w:val="000000" w:themeColor="text1"/>
          <w:sz w:val="21"/>
          <w:szCs w:val="21"/>
        </w:rPr>
      </w:pPr>
      <w:r w:rsidRPr="00562F1B">
        <w:rPr>
          <w:rFonts w:ascii="Arial" w:hAnsi="Arial" w:cs="Arial"/>
          <w:color w:val="000000" w:themeColor="text1"/>
          <w:sz w:val="21"/>
          <w:szCs w:val="21"/>
          <w:shd w:val="clear" w:color="auto" w:fill="FFFFFF"/>
        </w:rPr>
        <w:t xml:space="preserve">Dicha detección deberá realizarse a toda mujer embarazada que acude a los servicios de salud, idealmente durante el primer (o en el momento que llegue a control prenatal) y último trimestre del embarazo, a través de pruebas rápidas o de laboratorio. </w:t>
      </w:r>
      <w:r w:rsidR="00A91E5E" w:rsidRPr="00562F1B">
        <w:rPr>
          <w:rFonts w:ascii="Arial" w:hAnsi="Arial" w:cs="Arial"/>
          <w:color w:val="000000" w:themeColor="text1"/>
          <w:sz w:val="21"/>
          <w:szCs w:val="21"/>
        </w:rPr>
        <w:t>Anote las detecciones de primera vez y las subsecuentes, según resultado.</w:t>
      </w:r>
    </w:p>
    <w:p w:rsidR="00A91E5E" w:rsidRPr="00562F1B" w:rsidRDefault="00A91E5E" w:rsidP="00F64222">
      <w:pPr>
        <w:jc w:val="both"/>
        <w:rPr>
          <w:rFonts w:ascii="Arial" w:hAnsi="Arial" w:cs="Arial"/>
          <w:b/>
          <w:color w:val="000000" w:themeColor="text1"/>
          <w:sz w:val="21"/>
          <w:szCs w:val="21"/>
        </w:rPr>
      </w:pPr>
    </w:p>
    <w:p w:rsidR="00F64222" w:rsidRPr="00562F1B" w:rsidRDefault="00F64222" w:rsidP="00F64222">
      <w:pPr>
        <w:jc w:val="both"/>
        <w:rPr>
          <w:rFonts w:ascii="Arial" w:hAnsi="Arial" w:cs="Arial"/>
          <w:color w:val="000000" w:themeColor="text1"/>
          <w:sz w:val="21"/>
          <w:szCs w:val="21"/>
        </w:rPr>
      </w:pPr>
      <w:r w:rsidRPr="00562F1B">
        <w:rPr>
          <w:rFonts w:ascii="Arial" w:hAnsi="Arial" w:cs="Arial"/>
          <w:b/>
          <w:color w:val="000000" w:themeColor="text1"/>
          <w:sz w:val="21"/>
          <w:szCs w:val="21"/>
        </w:rPr>
        <w:t>Asistentes a terapias psicológicas grupales.</w:t>
      </w:r>
      <w:r w:rsidRPr="00562F1B">
        <w:rPr>
          <w:rFonts w:ascii="Arial" w:hAnsi="Arial" w:cs="Arial"/>
          <w:color w:val="000000" w:themeColor="text1"/>
          <w:sz w:val="21"/>
          <w:szCs w:val="21"/>
        </w:rPr>
        <w:t xml:space="preserve"> Anote el total de asistentes a terapias psicológicas grupales u orientación psicológica proporcionada por el personal médico y paramédico a grupos específicos, con la finalidad de brindar soporte emocional para una mejora calidad de vida de las personas viviendo con VIH.</w:t>
      </w:r>
    </w:p>
    <w:p w:rsidR="008E4DF8" w:rsidRPr="00DD421F" w:rsidRDefault="008E4DF8" w:rsidP="00F64222">
      <w:pPr>
        <w:rPr>
          <w:color w:val="000000" w:themeColor="text1"/>
        </w:rPr>
      </w:pPr>
    </w:p>
    <w:sectPr w:rsidR="008E4DF8" w:rsidRPr="00DD421F" w:rsidSect="00800BD6">
      <w:headerReference w:type="default" r:id="rId8"/>
      <w:footerReference w:type="default" r:id="rId9"/>
      <w:pgSz w:w="19442" w:h="12242" w:orient="landscape" w:code="295"/>
      <w:pgMar w:top="851" w:right="851" w:bottom="851"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8C" w:rsidRDefault="0091148C" w:rsidP="00E5065A">
      <w:r>
        <w:separator/>
      </w:r>
    </w:p>
  </w:endnote>
  <w:endnote w:type="continuationSeparator" w:id="0">
    <w:p w:rsidR="0091148C" w:rsidRDefault="0091148C" w:rsidP="00E5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D6" w:rsidRPr="003C535E" w:rsidRDefault="00800BD6" w:rsidP="00800BD6">
    <w:pPr>
      <w:pStyle w:val="Piedepgina"/>
      <w:jc w:val="right"/>
      <w:rPr>
        <w:rFonts w:ascii="Arial" w:hAnsi="Arial" w:cs="Arial"/>
        <w:sz w:val="18"/>
      </w:rPr>
    </w:pPr>
    <w:r>
      <w:rPr>
        <w:noProof/>
        <w:lang w:val="es-MX" w:eastAsia="es-MX"/>
      </w:rPr>
      <mc:AlternateContent>
        <mc:Choice Requires="wps">
          <w:drawing>
            <wp:anchor distT="4294967295" distB="4294967295" distL="114300" distR="114300" simplePos="0" relativeHeight="251661312" behindDoc="0" locked="0" layoutInCell="1" allowOverlap="1" wp14:anchorId="156A5BFE" wp14:editId="2C57EA81">
              <wp:simplePos x="0" y="0"/>
              <wp:positionH relativeFrom="column">
                <wp:posOffset>-137796</wp:posOffset>
              </wp:positionH>
              <wp:positionV relativeFrom="paragraph">
                <wp:posOffset>-635</wp:posOffset>
              </wp:positionV>
              <wp:extent cx="10887075" cy="0"/>
              <wp:effectExtent l="0" t="0" r="9525" b="19050"/>
              <wp:wrapNone/>
              <wp:docPr id="2" name="Conector angula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7075" cy="0"/>
                      </a:xfrm>
                      <a:prstGeom prst="bentConnector3">
                        <a:avLst>
                          <a:gd name="adj1" fmla="val 50000"/>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B6AD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 o:spid="_x0000_s1026" type="#_x0000_t34" style="position:absolute;margin-left:-10.85pt;margin-top:-.05pt;width:85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" strokecolor="#7f7f7f">
              <v:stroke joinstyle="round"/>
            </v:shape>
          </w:pict>
        </mc:Fallback>
      </mc:AlternateContent>
    </w:r>
    <w:r w:rsidRPr="0079476B">
      <w:rPr>
        <w:rFonts w:ascii="Arial" w:hAnsi="Arial" w:cs="Arial"/>
        <w:sz w:val="18"/>
      </w:rPr>
      <w:t xml:space="preserve">Página </w:t>
    </w:r>
    <w:r w:rsidRPr="0079476B">
      <w:rPr>
        <w:rFonts w:ascii="Arial" w:hAnsi="Arial" w:cs="Arial"/>
        <w:b/>
        <w:bCs/>
        <w:sz w:val="18"/>
      </w:rPr>
      <w:fldChar w:fldCharType="begin"/>
    </w:r>
    <w:r w:rsidRPr="0079476B">
      <w:rPr>
        <w:rFonts w:ascii="Arial" w:hAnsi="Arial" w:cs="Arial"/>
        <w:b/>
        <w:bCs/>
        <w:sz w:val="18"/>
      </w:rPr>
      <w:instrText>PAGE</w:instrText>
    </w:r>
    <w:r w:rsidRPr="0079476B">
      <w:rPr>
        <w:rFonts w:ascii="Arial" w:hAnsi="Arial" w:cs="Arial"/>
        <w:b/>
        <w:bCs/>
        <w:sz w:val="18"/>
      </w:rPr>
      <w:fldChar w:fldCharType="separate"/>
    </w:r>
    <w:r w:rsidR="00562F1B">
      <w:rPr>
        <w:rFonts w:ascii="Arial" w:hAnsi="Arial" w:cs="Arial"/>
        <w:b/>
        <w:bCs/>
        <w:noProof/>
        <w:sz w:val="18"/>
      </w:rPr>
      <w:t>2</w:t>
    </w:r>
    <w:r w:rsidRPr="0079476B">
      <w:rPr>
        <w:rFonts w:ascii="Arial" w:hAnsi="Arial" w:cs="Arial"/>
        <w:b/>
        <w:bCs/>
        <w:sz w:val="18"/>
      </w:rPr>
      <w:fldChar w:fldCharType="end"/>
    </w:r>
    <w:r w:rsidRPr="0079476B">
      <w:rPr>
        <w:rFonts w:ascii="Arial" w:hAnsi="Arial" w:cs="Arial"/>
        <w:sz w:val="18"/>
      </w:rPr>
      <w:t xml:space="preserve"> de </w:t>
    </w:r>
    <w:r w:rsidRPr="0079476B">
      <w:rPr>
        <w:rFonts w:ascii="Arial" w:hAnsi="Arial" w:cs="Arial"/>
        <w:b/>
        <w:bCs/>
        <w:sz w:val="18"/>
      </w:rPr>
      <w:fldChar w:fldCharType="begin"/>
    </w:r>
    <w:r w:rsidRPr="0079476B">
      <w:rPr>
        <w:rFonts w:ascii="Arial" w:hAnsi="Arial" w:cs="Arial"/>
        <w:b/>
        <w:bCs/>
        <w:sz w:val="18"/>
      </w:rPr>
      <w:instrText>NUMPAGES</w:instrText>
    </w:r>
    <w:r w:rsidRPr="0079476B">
      <w:rPr>
        <w:rFonts w:ascii="Arial" w:hAnsi="Arial" w:cs="Arial"/>
        <w:b/>
        <w:bCs/>
        <w:sz w:val="18"/>
      </w:rPr>
      <w:fldChar w:fldCharType="separate"/>
    </w:r>
    <w:r w:rsidR="00562F1B">
      <w:rPr>
        <w:rFonts w:ascii="Arial" w:hAnsi="Arial" w:cs="Arial"/>
        <w:b/>
        <w:bCs/>
        <w:noProof/>
        <w:sz w:val="18"/>
      </w:rPr>
      <w:t>3</w:t>
    </w:r>
    <w:r w:rsidRPr="0079476B">
      <w:rPr>
        <w:rFonts w:ascii="Arial" w:hAnsi="Arial" w:cs="Arial"/>
        <w:b/>
        <w:bCs/>
        <w:sz w:val="18"/>
      </w:rPr>
      <w:fldChar w:fldCharType="end"/>
    </w:r>
  </w:p>
  <w:p w:rsidR="00E5065A" w:rsidRDefault="00E506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8C" w:rsidRDefault="0091148C" w:rsidP="00E5065A">
      <w:r>
        <w:separator/>
      </w:r>
    </w:p>
  </w:footnote>
  <w:footnote w:type="continuationSeparator" w:id="0">
    <w:p w:rsidR="0091148C" w:rsidRDefault="0091148C" w:rsidP="00E50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D6" w:rsidRPr="0079476B" w:rsidRDefault="00800BD6" w:rsidP="00800BD6">
    <w:pPr>
      <w:pStyle w:val="Encabezado"/>
      <w:jc w:val="right"/>
      <w:rPr>
        <w:rFonts w:ascii="Arial" w:hAnsi="Arial" w:cs="Arial"/>
        <w:b/>
        <w:sz w:val="18"/>
        <w:lang w:val="es-MX"/>
      </w:rPr>
    </w:pPr>
    <w:r w:rsidRPr="00C1538D">
      <w:rPr>
        <w:rFonts w:ascii="Arial" w:hAnsi="Arial" w:cs="Arial"/>
        <w:b/>
        <w:sz w:val="18"/>
        <w:lang w:val="es-MX"/>
      </w:rPr>
      <w:t>SIS-SS-</w:t>
    </w:r>
    <w:r w:rsidR="00236D60">
      <w:rPr>
        <w:rFonts w:ascii="Arial" w:hAnsi="Arial" w:cs="Arial"/>
        <w:b/>
        <w:sz w:val="18"/>
        <w:lang w:val="es-MX"/>
      </w:rPr>
      <w:t>VIH</w:t>
    </w:r>
  </w:p>
  <w:p w:rsidR="00800BD6" w:rsidRDefault="00800BD6" w:rsidP="00800BD6">
    <w:pPr>
      <w:pStyle w:val="Encabezado"/>
      <w:jc w:val="right"/>
    </w:pPr>
    <w:r>
      <w:rPr>
        <w:noProof/>
        <w:lang w:val="es-MX" w:eastAsia="es-MX"/>
      </w:rPr>
      <mc:AlternateContent>
        <mc:Choice Requires="wps">
          <w:drawing>
            <wp:anchor distT="4294967295" distB="4294967295" distL="114300" distR="114300" simplePos="0" relativeHeight="251659264" behindDoc="0" locked="0" layoutInCell="1" allowOverlap="1" wp14:anchorId="6E8344EB" wp14:editId="3CF7DEE9">
              <wp:simplePos x="0" y="0"/>
              <wp:positionH relativeFrom="column">
                <wp:posOffset>-51435</wp:posOffset>
              </wp:positionH>
              <wp:positionV relativeFrom="paragraph">
                <wp:posOffset>123190</wp:posOffset>
              </wp:positionV>
              <wp:extent cx="10801350" cy="0"/>
              <wp:effectExtent l="0" t="0" r="19050" b="19050"/>
              <wp:wrapNone/>
              <wp:docPr id="1" name="Conector angula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0" cy="0"/>
                      </a:xfrm>
                      <a:prstGeom prst="bentConnector3">
                        <a:avLst>
                          <a:gd name="adj1" fmla="val 49995"/>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D029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 o:spid="_x0000_s1026" type="#_x0000_t34" style="position:absolute;margin-left:-4.05pt;margin-top:9.7pt;width:85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" adj="10799" strokecolor="#7f7f7f">
              <v:stroke joinstyle="round"/>
            </v:shape>
          </w:pict>
        </mc:Fallback>
      </mc:AlternateContent>
    </w:r>
    <w:r w:rsidRPr="0079476B">
      <w:rPr>
        <w:rFonts w:ascii="Arial" w:hAnsi="Arial" w:cs="Arial"/>
        <w:b/>
        <w:sz w:val="18"/>
        <w:lang w:val="es-MX"/>
      </w:rPr>
      <w:t>SIS201</w:t>
    </w:r>
    <w:r>
      <w:rPr>
        <w:rFonts w:ascii="Arial" w:hAnsi="Arial" w:cs="Arial"/>
        <w:b/>
        <w:sz w:val="18"/>
        <w:lang w:val="es-MX"/>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38F5"/>
    <w:multiLevelType w:val="hybridMultilevel"/>
    <w:tmpl w:val="9066FC2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84048D9"/>
    <w:multiLevelType w:val="hybridMultilevel"/>
    <w:tmpl w:val="017A02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980E72"/>
    <w:multiLevelType w:val="hybridMultilevel"/>
    <w:tmpl w:val="F75E82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CC54AD"/>
    <w:multiLevelType w:val="hybridMultilevel"/>
    <w:tmpl w:val="8312D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431779"/>
    <w:multiLevelType w:val="hybridMultilevel"/>
    <w:tmpl w:val="6988FF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4222CB"/>
    <w:multiLevelType w:val="hybridMultilevel"/>
    <w:tmpl w:val="FF4EE36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D5"/>
    <w:rsid w:val="0001305C"/>
    <w:rsid w:val="00090F08"/>
    <w:rsid w:val="000A0295"/>
    <w:rsid w:val="000A0FE0"/>
    <w:rsid w:val="000A6762"/>
    <w:rsid w:val="000C4AF2"/>
    <w:rsid w:val="000E79CA"/>
    <w:rsid w:val="001265EF"/>
    <w:rsid w:val="001607E1"/>
    <w:rsid w:val="00173CAE"/>
    <w:rsid w:val="00194495"/>
    <w:rsid w:val="00196AFC"/>
    <w:rsid w:val="001A3C65"/>
    <w:rsid w:val="001C7157"/>
    <w:rsid w:val="001F6DD3"/>
    <w:rsid w:val="00236D60"/>
    <w:rsid w:val="00252F9A"/>
    <w:rsid w:val="00256348"/>
    <w:rsid w:val="00292652"/>
    <w:rsid w:val="00297E53"/>
    <w:rsid w:val="002D1866"/>
    <w:rsid w:val="002F5BAD"/>
    <w:rsid w:val="00323852"/>
    <w:rsid w:val="003268B3"/>
    <w:rsid w:val="003326AF"/>
    <w:rsid w:val="00366D96"/>
    <w:rsid w:val="00370AB7"/>
    <w:rsid w:val="003A6CB7"/>
    <w:rsid w:val="003B1501"/>
    <w:rsid w:val="003B4A34"/>
    <w:rsid w:val="003C445B"/>
    <w:rsid w:val="003D30C6"/>
    <w:rsid w:val="003E78FD"/>
    <w:rsid w:val="0043046C"/>
    <w:rsid w:val="00434227"/>
    <w:rsid w:val="004439A0"/>
    <w:rsid w:val="004511FF"/>
    <w:rsid w:val="004916FD"/>
    <w:rsid w:val="00494817"/>
    <w:rsid w:val="0049593E"/>
    <w:rsid w:val="00496210"/>
    <w:rsid w:val="004B11B6"/>
    <w:rsid w:val="004B74C8"/>
    <w:rsid w:val="004E28E9"/>
    <w:rsid w:val="004E3934"/>
    <w:rsid w:val="00505971"/>
    <w:rsid w:val="00506D55"/>
    <w:rsid w:val="005449B3"/>
    <w:rsid w:val="005558C1"/>
    <w:rsid w:val="005625FF"/>
    <w:rsid w:val="00562F1B"/>
    <w:rsid w:val="00567014"/>
    <w:rsid w:val="00586117"/>
    <w:rsid w:val="0059429F"/>
    <w:rsid w:val="005B2084"/>
    <w:rsid w:val="005F69F2"/>
    <w:rsid w:val="00622C29"/>
    <w:rsid w:val="00635AD1"/>
    <w:rsid w:val="00635C7C"/>
    <w:rsid w:val="0064331E"/>
    <w:rsid w:val="0064783F"/>
    <w:rsid w:val="00685C47"/>
    <w:rsid w:val="006B596D"/>
    <w:rsid w:val="006C51B9"/>
    <w:rsid w:val="006D5275"/>
    <w:rsid w:val="00717CA6"/>
    <w:rsid w:val="007437E9"/>
    <w:rsid w:val="007453DC"/>
    <w:rsid w:val="0074593A"/>
    <w:rsid w:val="00753F54"/>
    <w:rsid w:val="0077176B"/>
    <w:rsid w:val="007C592B"/>
    <w:rsid w:val="007E332B"/>
    <w:rsid w:val="00800BD6"/>
    <w:rsid w:val="008509B4"/>
    <w:rsid w:val="00855D76"/>
    <w:rsid w:val="008560C1"/>
    <w:rsid w:val="00860031"/>
    <w:rsid w:val="0086237A"/>
    <w:rsid w:val="008961E5"/>
    <w:rsid w:val="008A7938"/>
    <w:rsid w:val="008D1BDD"/>
    <w:rsid w:val="008E4DF8"/>
    <w:rsid w:val="008F4214"/>
    <w:rsid w:val="0091148C"/>
    <w:rsid w:val="00913E18"/>
    <w:rsid w:val="00930D0A"/>
    <w:rsid w:val="009500DE"/>
    <w:rsid w:val="0096326F"/>
    <w:rsid w:val="009824B2"/>
    <w:rsid w:val="0098303A"/>
    <w:rsid w:val="00986850"/>
    <w:rsid w:val="0098692C"/>
    <w:rsid w:val="00987AFD"/>
    <w:rsid w:val="00997967"/>
    <w:rsid w:val="009A763B"/>
    <w:rsid w:val="009F4CB1"/>
    <w:rsid w:val="00A0786F"/>
    <w:rsid w:val="00A34C22"/>
    <w:rsid w:val="00A64BCD"/>
    <w:rsid w:val="00A678B5"/>
    <w:rsid w:val="00A75076"/>
    <w:rsid w:val="00A91E5E"/>
    <w:rsid w:val="00AA05D5"/>
    <w:rsid w:val="00AA43F8"/>
    <w:rsid w:val="00AD6D6A"/>
    <w:rsid w:val="00B06BEB"/>
    <w:rsid w:val="00B278D4"/>
    <w:rsid w:val="00B311B8"/>
    <w:rsid w:val="00B33424"/>
    <w:rsid w:val="00B541AD"/>
    <w:rsid w:val="00B76599"/>
    <w:rsid w:val="00B86502"/>
    <w:rsid w:val="00B86B0C"/>
    <w:rsid w:val="00BA177E"/>
    <w:rsid w:val="00BA27CB"/>
    <w:rsid w:val="00BB219C"/>
    <w:rsid w:val="00BB638A"/>
    <w:rsid w:val="00BD7119"/>
    <w:rsid w:val="00BE0B56"/>
    <w:rsid w:val="00C54CAB"/>
    <w:rsid w:val="00C55C43"/>
    <w:rsid w:val="00C75662"/>
    <w:rsid w:val="00C853C4"/>
    <w:rsid w:val="00CB2A4F"/>
    <w:rsid w:val="00CC6294"/>
    <w:rsid w:val="00CD18D3"/>
    <w:rsid w:val="00D36AFC"/>
    <w:rsid w:val="00D36C3A"/>
    <w:rsid w:val="00D544C9"/>
    <w:rsid w:val="00D71E92"/>
    <w:rsid w:val="00DA2A9E"/>
    <w:rsid w:val="00DC71DB"/>
    <w:rsid w:val="00DD421F"/>
    <w:rsid w:val="00E012BD"/>
    <w:rsid w:val="00E17A6F"/>
    <w:rsid w:val="00E5065A"/>
    <w:rsid w:val="00E53C75"/>
    <w:rsid w:val="00E92C80"/>
    <w:rsid w:val="00EA1B3D"/>
    <w:rsid w:val="00ED3423"/>
    <w:rsid w:val="00ED67D5"/>
    <w:rsid w:val="00EF764C"/>
    <w:rsid w:val="00F44E08"/>
    <w:rsid w:val="00F45865"/>
    <w:rsid w:val="00F64222"/>
    <w:rsid w:val="00F70287"/>
    <w:rsid w:val="00F815D4"/>
    <w:rsid w:val="00F83092"/>
    <w:rsid w:val="00FF1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EE26FF1-8637-4D57-AE1E-A075BF2E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D1BDD"/>
    <w:rPr>
      <w:rFonts w:ascii="Tahoma" w:hAnsi="Tahoma" w:cs="Tahoma"/>
      <w:sz w:val="16"/>
      <w:szCs w:val="16"/>
    </w:rPr>
  </w:style>
  <w:style w:type="character" w:customStyle="1" w:styleId="TextodegloboCar">
    <w:name w:val="Texto de globo Car"/>
    <w:link w:val="Textodeglobo"/>
    <w:rsid w:val="008D1BDD"/>
    <w:rPr>
      <w:rFonts w:ascii="Tahoma" w:hAnsi="Tahoma" w:cs="Tahoma"/>
      <w:sz w:val="16"/>
      <w:szCs w:val="16"/>
      <w:lang w:val="es-ES" w:eastAsia="es-ES"/>
    </w:rPr>
  </w:style>
  <w:style w:type="table" w:styleId="Tablaconcuadrcula">
    <w:name w:val="Table Grid"/>
    <w:basedOn w:val="Tablanormal"/>
    <w:rsid w:val="00B86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A678B5"/>
    <w:pPr>
      <w:jc w:val="both"/>
    </w:pPr>
    <w:rPr>
      <w:rFonts w:ascii="Arial" w:hAnsi="Arial"/>
      <w:sz w:val="18"/>
      <w:lang w:val="es-MX" w:eastAsia="es-MX"/>
    </w:rPr>
  </w:style>
  <w:style w:type="character" w:customStyle="1" w:styleId="Textoindependiente3Car">
    <w:name w:val="Texto independiente 3 Car"/>
    <w:link w:val="Textoindependiente3"/>
    <w:rsid w:val="00A678B5"/>
    <w:rPr>
      <w:rFonts w:ascii="Arial" w:hAnsi="Arial"/>
      <w:sz w:val="18"/>
      <w:szCs w:val="24"/>
    </w:rPr>
  </w:style>
  <w:style w:type="paragraph" w:styleId="Encabezado">
    <w:name w:val="header"/>
    <w:basedOn w:val="Normal"/>
    <w:link w:val="EncabezadoCar"/>
    <w:rsid w:val="00E5065A"/>
    <w:pPr>
      <w:tabs>
        <w:tab w:val="center" w:pos="4419"/>
        <w:tab w:val="right" w:pos="8838"/>
      </w:tabs>
    </w:pPr>
  </w:style>
  <w:style w:type="character" w:customStyle="1" w:styleId="EncabezadoCar">
    <w:name w:val="Encabezado Car"/>
    <w:link w:val="Encabezado"/>
    <w:rsid w:val="00E5065A"/>
    <w:rPr>
      <w:sz w:val="24"/>
      <w:szCs w:val="24"/>
      <w:lang w:val="es-ES" w:eastAsia="es-ES"/>
    </w:rPr>
  </w:style>
  <w:style w:type="paragraph" w:styleId="Piedepgina">
    <w:name w:val="footer"/>
    <w:basedOn w:val="Normal"/>
    <w:link w:val="PiedepginaCar"/>
    <w:uiPriority w:val="99"/>
    <w:rsid w:val="00E5065A"/>
    <w:pPr>
      <w:tabs>
        <w:tab w:val="center" w:pos="4419"/>
        <w:tab w:val="right" w:pos="8838"/>
      </w:tabs>
    </w:pPr>
  </w:style>
  <w:style w:type="character" w:customStyle="1" w:styleId="PiedepginaCar">
    <w:name w:val="Pie de página Car"/>
    <w:link w:val="Piedepgina"/>
    <w:uiPriority w:val="99"/>
    <w:rsid w:val="00E5065A"/>
    <w:rPr>
      <w:sz w:val="24"/>
      <w:szCs w:val="24"/>
      <w:lang w:val="es-ES" w:eastAsia="es-ES"/>
    </w:rPr>
  </w:style>
  <w:style w:type="paragraph" w:styleId="Textoindependiente">
    <w:name w:val="Body Text"/>
    <w:basedOn w:val="Normal"/>
    <w:link w:val="TextoindependienteCar"/>
    <w:rsid w:val="00F64222"/>
    <w:pPr>
      <w:spacing w:after="120"/>
    </w:pPr>
  </w:style>
  <w:style w:type="character" w:customStyle="1" w:styleId="TextoindependienteCar">
    <w:name w:val="Texto independiente Car"/>
    <w:basedOn w:val="Fuentedeprrafopredeter"/>
    <w:link w:val="Textoindependiente"/>
    <w:rsid w:val="00F64222"/>
    <w:rPr>
      <w:sz w:val="24"/>
      <w:szCs w:val="24"/>
      <w:lang w:val="es-ES" w:eastAsia="es-ES"/>
    </w:rPr>
  </w:style>
  <w:style w:type="paragraph" w:customStyle="1" w:styleId="a">
    <w:basedOn w:val="Normal"/>
    <w:next w:val="Puesto"/>
    <w:qFormat/>
    <w:rsid w:val="00F64222"/>
    <w:pPr>
      <w:jc w:val="center"/>
    </w:pPr>
    <w:rPr>
      <w:rFonts w:ascii="Helvetica" w:hAnsi="Helvetica"/>
      <w:b/>
      <w:sz w:val="22"/>
      <w:szCs w:val="20"/>
      <w:lang w:val="es-ES_tradnl"/>
    </w:rPr>
  </w:style>
  <w:style w:type="paragraph" w:styleId="Puesto">
    <w:name w:val="Title"/>
    <w:basedOn w:val="Normal"/>
    <w:next w:val="Normal"/>
    <w:link w:val="PuestoCar"/>
    <w:qFormat/>
    <w:rsid w:val="00F6422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F64222"/>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75876">
      <w:bodyDiv w:val="1"/>
      <w:marLeft w:val="0"/>
      <w:marRight w:val="0"/>
      <w:marTop w:val="0"/>
      <w:marBottom w:val="0"/>
      <w:divBdr>
        <w:top w:val="none" w:sz="0" w:space="0" w:color="auto"/>
        <w:left w:val="none" w:sz="0" w:space="0" w:color="auto"/>
        <w:bottom w:val="none" w:sz="0" w:space="0" w:color="auto"/>
        <w:right w:val="none" w:sz="0" w:space="0" w:color="auto"/>
      </w:divBdr>
    </w:div>
    <w:div w:id="6753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043DE-0E1D-4AFA-A6A3-D5FD2AF2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1160</Words>
  <Characters>6382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INFORME MENSUAL DE ACTIVIDADES DE PARTICIPACIÓN MUNICIPAL, SIS-SS-PM</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MENSUAL DE ACTIVIDADES DE PARTICIPACIÓN MUNICIPAL, SIS-SS-PM</dc:title>
  <dc:subject/>
  <dc:creator>Gabriela Iturbe Montiel</dc:creator>
  <cp:keywords/>
  <dc:description/>
  <cp:lastModifiedBy>Alicia Mercado Sandoval</cp:lastModifiedBy>
  <cp:revision>7</cp:revision>
  <cp:lastPrinted>2015-10-12T19:34:00Z</cp:lastPrinted>
  <dcterms:created xsi:type="dcterms:W3CDTF">2015-09-11T01:24:00Z</dcterms:created>
  <dcterms:modified xsi:type="dcterms:W3CDTF">2015-11-14T01:09:00Z</dcterms:modified>
</cp:coreProperties>
</file>